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116" w:rsidRDefault="00AA5116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2B1668" w:rsidP="002B166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2B1668" w:rsidRDefault="00A10EC8" w:rsidP="002B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1668" w:rsidSect="002B1668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921" w:right="1440" w:bottom="1162" w:left="1820" w:header="720" w:footer="720" w:gutter="0"/>
          <w:cols w:space="720" w:equalWidth="0">
            <w:col w:w="8640"/>
          </w:cols>
          <w:noEndnote/>
        </w:sectPr>
      </w:pPr>
      <w:r>
        <w:rPr>
          <w:rFonts w:ascii="Cambria" w:hAnsi="Cambria" w:cs="Cambria"/>
          <w:sz w:val="52"/>
          <w:szCs w:val="52"/>
        </w:rPr>
        <w:t xml:space="preserve">    </w:t>
      </w:r>
      <w:r w:rsidR="002B1668">
        <w:rPr>
          <w:rFonts w:ascii="Cambria" w:hAnsi="Cambria" w:cs="Cambria"/>
          <w:sz w:val="52"/>
          <w:szCs w:val="52"/>
        </w:rPr>
        <w:t xml:space="preserve">SCHEDULE - </w:t>
      </w:r>
      <w:proofErr w:type="gramStart"/>
      <w:r w:rsidR="002B1668">
        <w:rPr>
          <w:rFonts w:ascii="Cambria" w:hAnsi="Cambria" w:cs="Cambria"/>
          <w:sz w:val="52"/>
          <w:szCs w:val="52"/>
        </w:rPr>
        <w:t>III  CHECKLIST</w:t>
      </w:r>
      <w:proofErr w:type="gramEnd"/>
      <w:r w:rsidR="00681CCE" w:rsidRPr="00681CCE">
        <w:rPr>
          <w:noProof/>
        </w:rPr>
        <w:pict>
          <v:line id="_x0000_s1027" style="position:absolute;z-index:-251658752;mso-position-horizontal-relative:text;mso-position-vertical-relative:text" from="-24.4pt,75.65pt" to="437.7pt,75.65pt" o:allowincell="f" strokecolor="#4f80bd" strokeweight=".16931mm"/>
        </w:pict>
      </w:r>
    </w:p>
    <w:p w:rsidR="002B1668" w:rsidRDefault="002B1668"/>
    <w:tbl>
      <w:tblPr>
        <w:tblStyle w:val="TableGrid"/>
        <w:tblW w:w="10080" w:type="dxa"/>
        <w:tblInd w:w="-72" w:type="dxa"/>
        <w:tblLayout w:type="fixed"/>
        <w:tblLook w:val="04A0"/>
      </w:tblPr>
      <w:tblGrid>
        <w:gridCol w:w="695"/>
        <w:gridCol w:w="7393"/>
        <w:gridCol w:w="732"/>
        <w:gridCol w:w="540"/>
        <w:gridCol w:w="720"/>
      </w:tblGrid>
      <w:tr w:rsidR="007E1EAD" w:rsidRPr="002B1668" w:rsidTr="00EC760D">
        <w:tc>
          <w:tcPr>
            <w:tcW w:w="695" w:type="dxa"/>
          </w:tcPr>
          <w:p w:rsidR="007E1EAD" w:rsidRPr="002B1668" w:rsidRDefault="00B21250">
            <w:pPr>
              <w:rPr>
                <w:b/>
                <w:bCs/>
              </w:rPr>
            </w:pPr>
            <w:proofErr w:type="spellStart"/>
            <w:r w:rsidRPr="002B1668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7393" w:type="dxa"/>
          </w:tcPr>
          <w:p w:rsidR="007E1EAD" w:rsidRDefault="007E1EAD"/>
        </w:tc>
        <w:tc>
          <w:tcPr>
            <w:tcW w:w="732" w:type="dxa"/>
          </w:tcPr>
          <w:p w:rsidR="007E1EAD" w:rsidRPr="002B1668" w:rsidRDefault="00B21250">
            <w:pPr>
              <w:rPr>
                <w:b/>
                <w:bCs/>
              </w:rPr>
            </w:pPr>
            <w:r w:rsidRPr="002B1668">
              <w:rPr>
                <w:b/>
                <w:bCs/>
              </w:rPr>
              <w:t>Y</w:t>
            </w:r>
            <w:r w:rsidR="005E6BF5" w:rsidRPr="002B1668">
              <w:rPr>
                <w:b/>
                <w:bCs/>
              </w:rPr>
              <w:t>ES</w:t>
            </w:r>
          </w:p>
        </w:tc>
        <w:tc>
          <w:tcPr>
            <w:tcW w:w="540" w:type="dxa"/>
          </w:tcPr>
          <w:p w:rsidR="007E1EAD" w:rsidRPr="002B1668" w:rsidRDefault="005E6BF5">
            <w:pPr>
              <w:rPr>
                <w:b/>
                <w:bCs/>
              </w:rPr>
            </w:pPr>
            <w:r w:rsidRPr="002B1668">
              <w:rPr>
                <w:b/>
                <w:bCs/>
              </w:rPr>
              <w:t>NO</w:t>
            </w:r>
          </w:p>
        </w:tc>
        <w:tc>
          <w:tcPr>
            <w:tcW w:w="720" w:type="dxa"/>
          </w:tcPr>
          <w:p w:rsidR="007E1EAD" w:rsidRPr="002B1668" w:rsidRDefault="00B21250">
            <w:pPr>
              <w:rPr>
                <w:b/>
                <w:bCs/>
              </w:rPr>
            </w:pPr>
            <w:r w:rsidRPr="002B1668">
              <w:rPr>
                <w:b/>
                <w:bCs/>
              </w:rPr>
              <w:t>N.A</w:t>
            </w:r>
          </w:p>
        </w:tc>
      </w:tr>
      <w:tr w:rsidR="007E1EAD" w:rsidRPr="002B1668" w:rsidTr="00EC760D">
        <w:tc>
          <w:tcPr>
            <w:tcW w:w="695" w:type="dxa"/>
          </w:tcPr>
          <w:p w:rsidR="007E1EAD" w:rsidRDefault="007E1EAD"/>
        </w:tc>
        <w:tc>
          <w:tcPr>
            <w:tcW w:w="7393" w:type="dxa"/>
          </w:tcPr>
          <w:p w:rsidR="007E1EAD" w:rsidRDefault="007E1EAD"/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7E1EAD"/>
        </w:tc>
        <w:tc>
          <w:tcPr>
            <w:tcW w:w="7393" w:type="dxa"/>
          </w:tcPr>
          <w:p w:rsidR="007E1EAD" w:rsidRDefault="007E1EAD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(A</w:t>
            </w:r>
            <w:r w:rsidR="007E1EAD">
              <w:t>)</w:t>
            </w:r>
          </w:p>
        </w:tc>
        <w:tc>
          <w:tcPr>
            <w:tcW w:w="7393" w:type="dxa"/>
          </w:tcPr>
          <w:p w:rsidR="007E1EAD" w:rsidRDefault="007E1EAD" w:rsidP="007E1E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Share Capital</w:t>
            </w:r>
          </w:p>
          <w:p w:rsidR="007E1EAD" w:rsidRDefault="007E1EAD"/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7E1EAD">
            <w:r>
              <w:t>I</w:t>
            </w:r>
          </w:p>
        </w:tc>
        <w:tc>
          <w:tcPr>
            <w:tcW w:w="7393" w:type="dxa"/>
          </w:tcPr>
          <w:p w:rsidR="007E1EAD" w:rsidRDefault="007E1EAD" w:rsidP="003A2570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</w:pPr>
            <w:r>
              <w:rPr>
                <w:rFonts w:ascii="Calibri" w:hAnsi="Calibri" w:cs="Calibri"/>
              </w:rPr>
              <w:t xml:space="preserve">Whether each class of share capital </w:t>
            </w:r>
            <w:r w:rsidR="00E42E83">
              <w:rPr>
                <w:rFonts w:ascii="Calibri" w:hAnsi="Calibri" w:cs="Calibri"/>
              </w:rPr>
              <w:t xml:space="preserve">are </w:t>
            </w:r>
            <w:r>
              <w:rPr>
                <w:rFonts w:ascii="Calibri" w:hAnsi="Calibri" w:cs="Calibri"/>
              </w:rPr>
              <w:t>shown as - Equity Share Capital and Preference Share Capital (different classes to be treated differently)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I</w:t>
            </w:r>
            <w:r w:rsidR="007E1EAD">
              <w:t>i</w:t>
            </w:r>
          </w:p>
        </w:tc>
        <w:tc>
          <w:tcPr>
            <w:tcW w:w="7393" w:type="dxa"/>
          </w:tcPr>
          <w:p w:rsidR="007E1EAD" w:rsidRDefault="007E1EAD" w:rsidP="003A25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Whether following details are shown in balance sheet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(a)</w:t>
            </w:r>
          </w:p>
        </w:tc>
        <w:tc>
          <w:tcPr>
            <w:tcW w:w="7393" w:type="dxa"/>
          </w:tcPr>
          <w:p w:rsidR="007E1EAD" w:rsidRDefault="007E1EAD" w:rsidP="007E1EAD">
            <w:pPr>
              <w:widowControl w:val="0"/>
              <w:numPr>
                <w:ilvl w:val="4"/>
                <w:numId w:val="1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198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and Amount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Authorised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share capital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7E1EAD" w:rsidRDefault="007E1EAD" w:rsidP="007E1EAD">
            <w:pPr>
              <w:widowControl w:val="0"/>
              <w:numPr>
                <w:ilvl w:val="4"/>
                <w:numId w:val="1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98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Issued share capital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E1EAD" w:rsidRDefault="007E1EAD" w:rsidP="007E1EAD">
            <w:pPr>
              <w:widowControl w:val="0"/>
              <w:numPr>
                <w:ilvl w:val="4"/>
                <w:numId w:val="1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98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Subscribed and fully paid share capital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E1EAD" w:rsidRDefault="007E1EAD" w:rsidP="007E1EAD">
            <w:pPr>
              <w:widowControl w:val="0"/>
              <w:numPr>
                <w:ilvl w:val="4"/>
                <w:numId w:val="1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98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Subscribed share capital but not fully paid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E1EAD" w:rsidRDefault="007E1EAD" w:rsidP="003A2570">
            <w:pPr>
              <w:widowControl w:val="0"/>
              <w:numPr>
                <w:ilvl w:val="4"/>
                <w:numId w:val="1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1980" w:hanging="420"/>
              <w:jc w:val="both"/>
            </w:pPr>
            <w:r w:rsidRPr="003A2570">
              <w:rPr>
                <w:rFonts w:ascii="Calibri" w:hAnsi="Calibri" w:cs="Calibri"/>
              </w:rPr>
              <w:t>Par value per share shown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(b)</w:t>
            </w:r>
          </w:p>
        </w:tc>
        <w:tc>
          <w:tcPr>
            <w:tcW w:w="7393" w:type="dxa"/>
          </w:tcPr>
          <w:p w:rsidR="007E1EAD" w:rsidRDefault="007E1EAD" w:rsidP="003A25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 xml:space="preserve"> Reconciliation of the Opening and Closing Outstanding no. of shares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©</w:t>
            </w:r>
          </w:p>
        </w:tc>
        <w:tc>
          <w:tcPr>
            <w:tcW w:w="7393" w:type="dxa"/>
          </w:tcPr>
          <w:p w:rsidR="007E1EAD" w:rsidRDefault="007E1EAD" w:rsidP="003A2570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</w:pPr>
            <w:r>
              <w:rPr>
                <w:rFonts w:ascii="Calibri" w:hAnsi="Calibri" w:cs="Calibri"/>
              </w:rPr>
              <w:t>Rights, Preferences and restrictions attaching to each class of shares shown including restrictions on Dividends distribution and Repayment of Capital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(d)</w:t>
            </w:r>
          </w:p>
        </w:tc>
        <w:tc>
          <w:tcPr>
            <w:tcW w:w="7393" w:type="dxa"/>
          </w:tcPr>
          <w:p w:rsidR="007E1EAD" w:rsidRPr="003A2570" w:rsidRDefault="007E1EAD" w:rsidP="007E1E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A2570">
              <w:rPr>
                <w:rFonts w:ascii="Calibri" w:hAnsi="Calibri" w:cs="Calibri"/>
              </w:rPr>
              <w:t>Shares (in aggregate) of each class held by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Calibri" w:hAnsi="Calibri" w:cs="Calibri"/>
              </w:rPr>
            </w:pPr>
          </w:p>
          <w:p w:rsidR="007E1EAD" w:rsidRDefault="007E1EAD"/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7E1EAD"/>
        </w:tc>
        <w:tc>
          <w:tcPr>
            <w:tcW w:w="7393" w:type="dxa"/>
          </w:tcPr>
          <w:p w:rsidR="007E1EAD" w:rsidRDefault="007E1EAD" w:rsidP="007E1EAD">
            <w:pPr>
              <w:widowControl w:val="0"/>
              <w:numPr>
                <w:ilvl w:val="5"/>
                <w:numId w:val="2"/>
              </w:numPr>
              <w:overflowPunct w:val="0"/>
              <w:autoSpaceDE w:val="0"/>
              <w:autoSpaceDN w:val="0"/>
              <w:adjustRightInd w:val="0"/>
              <w:ind w:left="198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Its Holding Company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" w:hAnsi="Arial" w:cs="Arial"/>
              </w:rPr>
            </w:pPr>
          </w:p>
          <w:p w:rsidR="007E1EAD" w:rsidRDefault="007E1EAD" w:rsidP="007E1EAD">
            <w:pPr>
              <w:widowControl w:val="0"/>
              <w:numPr>
                <w:ilvl w:val="5"/>
                <w:numId w:val="2"/>
              </w:numPr>
              <w:overflowPunct w:val="0"/>
              <w:autoSpaceDE w:val="0"/>
              <w:autoSpaceDN w:val="0"/>
              <w:adjustRightInd w:val="0"/>
              <w:spacing w:line="232" w:lineRule="auto"/>
              <w:ind w:left="198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Ultimate Holding Company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" w:hAnsi="Arial" w:cs="Arial"/>
              </w:rPr>
            </w:pPr>
          </w:p>
          <w:p w:rsidR="007E1EAD" w:rsidRDefault="007E1EAD" w:rsidP="007E1EAD">
            <w:pPr>
              <w:widowControl w:val="0"/>
              <w:numPr>
                <w:ilvl w:val="5"/>
                <w:numId w:val="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198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Subsidiaries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11" w:lineRule="exact"/>
              <w:rPr>
                <w:rFonts w:ascii="Arial" w:hAnsi="Arial" w:cs="Arial"/>
              </w:rPr>
            </w:pPr>
          </w:p>
          <w:p w:rsidR="007E1EAD" w:rsidRDefault="007E1EAD" w:rsidP="007E1EAD">
            <w:pPr>
              <w:widowControl w:val="0"/>
              <w:numPr>
                <w:ilvl w:val="5"/>
                <w:numId w:val="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198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Associates of the Holding Company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11" w:lineRule="exact"/>
              <w:rPr>
                <w:rFonts w:ascii="Arial" w:hAnsi="Arial" w:cs="Arial"/>
              </w:rPr>
            </w:pPr>
          </w:p>
          <w:p w:rsidR="007E1EAD" w:rsidRDefault="007E1EAD" w:rsidP="003A2570">
            <w:pPr>
              <w:widowControl w:val="0"/>
              <w:numPr>
                <w:ilvl w:val="5"/>
                <w:numId w:val="2"/>
              </w:numPr>
              <w:overflowPunct w:val="0"/>
              <w:autoSpaceDE w:val="0"/>
              <w:autoSpaceDN w:val="0"/>
              <w:adjustRightInd w:val="0"/>
              <w:spacing w:line="256" w:lineRule="exact"/>
              <w:ind w:left="1980" w:hanging="355"/>
              <w:jc w:val="both"/>
            </w:pPr>
            <w:r w:rsidRPr="003A2570">
              <w:rPr>
                <w:rFonts w:ascii="Calibri" w:hAnsi="Calibri" w:cs="Calibri"/>
                <w:sz w:val="20"/>
                <w:szCs w:val="20"/>
              </w:rPr>
              <w:t>Associates of the Ultimate Holding Company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(e)</w:t>
            </w:r>
          </w:p>
        </w:tc>
        <w:tc>
          <w:tcPr>
            <w:tcW w:w="7393" w:type="dxa"/>
          </w:tcPr>
          <w:p w:rsidR="007E1EAD" w:rsidRDefault="007E1EAD" w:rsidP="003A2570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</w:pPr>
            <w:r>
              <w:rPr>
                <w:rFonts w:ascii="Calibri" w:hAnsi="Calibri" w:cs="Calibri"/>
              </w:rPr>
              <w:t>Shareholders having more than 5% of the shares shown, specifying the number of shares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(f)</w:t>
            </w:r>
          </w:p>
        </w:tc>
        <w:tc>
          <w:tcPr>
            <w:tcW w:w="7393" w:type="dxa"/>
          </w:tcPr>
          <w:p w:rsidR="003A2570" w:rsidRDefault="003A2570" w:rsidP="003A25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Terms and amount of</w:t>
            </w:r>
          </w:p>
          <w:p w:rsidR="003A2570" w:rsidRDefault="003A2570" w:rsidP="003A2570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3A2570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198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Shares reserved for issue under option of control</w:t>
            </w:r>
          </w:p>
          <w:p w:rsidR="003A2570" w:rsidRDefault="003A2570" w:rsidP="003A257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98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Commitments for the sale of shares/disinvestments.</w:t>
            </w:r>
          </w:p>
          <w:p w:rsidR="007E1EAD" w:rsidRDefault="007E1EAD" w:rsidP="007E1EAD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7E1EAD" w:rsidRDefault="007E1EAD"/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(g)</w:t>
            </w:r>
          </w:p>
        </w:tc>
        <w:tc>
          <w:tcPr>
            <w:tcW w:w="7393" w:type="dxa"/>
          </w:tcPr>
          <w:p w:rsidR="003A2570" w:rsidRPr="003A2570" w:rsidRDefault="003A2570" w:rsidP="003A25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A2570">
              <w:rPr>
                <w:rFonts w:ascii="Calibri" w:hAnsi="Calibri" w:cs="Calibri"/>
              </w:rPr>
              <w:t>For the preceding five years:</w:t>
            </w:r>
          </w:p>
          <w:p w:rsidR="003A2570" w:rsidRDefault="003A2570" w:rsidP="003A2570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3A2570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spacing w:line="241" w:lineRule="auto"/>
              <w:ind w:left="198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number and class of shares allotted as fully paid up pursuant to contact(s) without payment being received in cash</w:t>
            </w:r>
          </w:p>
          <w:p w:rsidR="003A2570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ind w:left="198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number and class of shares allotted as fully paid Bonus Shares</w:t>
            </w:r>
          </w:p>
          <w:p w:rsidR="003A2570" w:rsidRDefault="003A2570" w:rsidP="003A257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E1EAD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spacing w:line="257" w:lineRule="exact"/>
              <w:ind w:left="1980" w:hanging="355"/>
              <w:jc w:val="both"/>
            </w:pPr>
            <w:r w:rsidRPr="003A2570">
              <w:rPr>
                <w:rFonts w:ascii="Calibri" w:hAnsi="Calibri" w:cs="Calibri"/>
                <w:sz w:val="20"/>
                <w:szCs w:val="20"/>
              </w:rPr>
              <w:t>Aggregate number and class of shares bought back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(h)</w:t>
            </w:r>
          </w:p>
        </w:tc>
        <w:tc>
          <w:tcPr>
            <w:tcW w:w="7393" w:type="dxa"/>
          </w:tcPr>
          <w:p w:rsidR="003A2570" w:rsidRDefault="003A2570" w:rsidP="003A2570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Terms of conversion of securities into equity/preference share capital with earliest date of conversion being shown in descending order starting from the farthest such date.</w:t>
            </w:r>
          </w:p>
          <w:p w:rsidR="007E1EAD" w:rsidRDefault="007E1EAD" w:rsidP="003A2570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7E1EAD" w:rsidRPr="002B1668" w:rsidTr="00EC760D">
        <w:tc>
          <w:tcPr>
            <w:tcW w:w="695" w:type="dxa"/>
          </w:tcPr>
          <w:p w:rsidR="007E1EAD" w:rsidRDefault="003A2570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393" w:type="dxa"/>
          </w:tcPr>
          <w:p w:rsidR="003A2570" w:rsidRPr="003A2570" w:rsidRDefault="003A2570" w:rsidP="003A25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A2570">
              <w:rPr>
                <w:rFonts w:ascii="Calibri" w:hAnsi="Calibri" w:cs="Calibri"/>
              </w:rPr>
              <w:t>Calls unpaid shown as:</w:t>
            </w:r>
          </w:p>
          <w:p w:rsidR="003A2570" w:rsidRDefault="003A2570" w:rsidP="003A2570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3A2570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ind w:left="198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by directors and officers</w:t>
            </w:r>
          </w:p>
          <w:p w:rsidR="003A2570" w:rsidRDefault="003A2570" w:rsidP="003A2570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7E1EAD" w:rsidRDefault="003A2570" w:rsidP="003A2570">
            <w:pPr>
              <w:widowControl w:val="0"/>
              <w:numPr>
                <w:ilvl w:val="5"/>
                <w:numId w:val="1"/>
              </w:numPr>
              <w:tabs>
                <w:tab w:val="clear" w:pos="4320"/>
                <w:tab w:val="num" w:pos="198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980" w:hanging="355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by others</w:t>
            </w:r>
          </w:p>
        </w:tc>
        <w:tc>
          <w:tcPr>
            <w:tcW w:w="732" w:type="dxa"/>
          </w:tcPr>
          <w:p w:rsidR="007E1EAD" w:rsidRDefault="007E1EAD"/>
        </w:tc>
        <w:tc>
          <w:tcPr>
            <w:tcW w:w="540" w:type="dxa"/>
          </w:tcPr>
          <w:p w:rsidR="007E1EAD" w:rsidRDefault="007E1EAD"/>
        </w:tc>
        <w:tc>
          <w:tcPr>
            <w:tcW w:w="720" w:type="dxa"/>
          </w:tcPr>
          <w:p w:rsidR="007E1EAD" w:rsidRDefault="007E1EAD"/>
        </w:tc>
      </w:tr>
      <w:tr w:rsidR="003A2570" w:rsidRPr="002B1668" w:rsidTr="00EC760D">
        <w:tc>
          <w:tcPr>
            <w:tcW w:w="695" w:type="dxa"/>
          </w:tcPr>
          <w:p w:rsidR="003A2570" w:rsidRDefault="003A2570">
            <w:r>
              <w:t>(j)</w:t>
            </w:r>
          </w:p>
        </w:tc>
        <w:tc>
          <w:tcPr>
            <w:tcW w:w="7393" w:type="dxa"/>
          </w:tcPr>
          <w:p w:rsidR="003A2570" w:rsidRDefault="003A2570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Forfeited Shares shown (amount originally paid up)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 w:rsidP="003A2570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left="1980"/>
              <w:jc w:val="both"/>
            </w:pP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48724B">
            <w:r>
              <w:t>(B)</w:t>
            </w:r>
          </w:p>
        </w:tc>
        <w:tc>
          <w:tcPr>
            <w:tcW w:w="7393" w:type="dxa"/>
          </w:tcPr>
          <w:p w:rsidR="0048724B" w:rsidRDefault="0048724B" w:rsidP="004872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Reserves and Surplus</w:t>
            </w:r>
          </w:p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48724B">
            <w:r>
              <w:lastRenderedPageBreak/>
              <w:t>I</w:t>
            </w:r>
          </w:p>
        </w:tc>
        <w:tc>
          <w:tcPr>
            <w:tcW w:w="7393" w:type="dxa"/>
          </w:tcPr>
          <w:p w:rsidR="0048724B" w:rsidRDefault="0048724B" w:rsidP="004872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reserves and surplus are classified into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Capital reserves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Capital Redemption Reserves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Securities premium reserves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Debenture Redemption Reserve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Revaluation Reserve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 Option Outstanding Account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48724B" w:rsidRDefault="0048724B" w:rsidP="0048724B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reserves, specifying nature, purpose and amount of each</w:t>
            </w:r>
          </w:p>
          <w:p w:rsidR="0048724B" w:rsidRDefault="0048724B" w:rsidP="0048724B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48724B" w:rsidP="00B21250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9" w:lineRule="exact"/>
              <w:ind w:left="1640" w:hanging="355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Surplus, showing allocations and appropriations such as dividend, bonus shares and transfer to / from reserves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7249B1">
            <w:r>
              <w:t>Ii</w:t>
            </w:r>
          </w:p>
        </w:tc>
        <w:tc>
          <w:tcPr>
            <w:tcW w:w="7393" w:type="dxa"/>
          </w:tcPr>
          <w:p w:rsidR="003A2570" w:rsidRDefault="007249B1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</w:pPr>
            <w:r>
              <w:rPr>
                <w:rFonts w:ascii="Calibri" w:hAnsi="Calibri" w:cs="Calibri"/>
              </w:rPr>
              <w:t>Whether additions and d</w:t>
            </w:r>
            <w:r w:rsidR="0048724B">
              <w:rPr>
                <w:rFonts w:ascii="Calibri" w:hAnsi="Calibri" w:cs="Calibri"/>
              </w:rPr>
              <w:t xml:space="preserve">eductions since last Balance Sheet date </w:t>
            </w:r>
            <w:r>
              <w:rPr>
                <w:rFonts w:ascii="Calibri" w:hAnsi="Calibri" w:cs="Calibri"/>
              </w:rPr>
              <w:t>are</w:t>
            </w:r>
            <w:r w:rsidR="0048724B">
              <w:rPr>
                <w:rFonts w:ascii="Calibri" w:hAnsi="Calibri" w:cs="Calibri"/>
              </w:rPr>
              <w:t xml:space="preserve"> shown under each of the specified heads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7249B1">
            <w:r>
              <w:t>Iii</w:t>
            </w:r>
          </w:p>
        </w:tc>
        <w:tc>
          <w:tcPr>
            <w:tcW w:w="7393" w:type="dxa"/>
          </w:tcPr>
          <w:p w:rsidR="003A2570" w:rsidRDefault="007249B1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</w:pPr>
            <w:r>
              <w:rPr>
                <w:rFonts w:ascii="Calibri" w:hAnsi="Calibri" w:cs="Calibri"/>
              </w:rPr>
              <w:t>Whether negative balance of Profit and Loss Account, if any, are shown under the "Surplus" head as a negative figure.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34310">
            <w:r>
              <w:t xml:space="preserve">© </w:t>
            </w:r>
          </w:p>
        </w:tc>
        <w:tc>
          <w:tcPr>
            <w:tcW w:w="7393" w:type="dxa"/>
          </w:tcPr>
          <w:p w:rsidR="003A2570" w:rsidRDefault="00134310" w:rsidP="00B21250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SHARE APPLICATION MONEY PENDING ALLOTMENT</w:t>
            </w:r>
          </w:p>
          <w:p w:rsidR="00B21250" w:rsidRDefault="00B21250" w:rsidP="00B2125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34310">
            <w:r>
              <w:t>I</w:t>
            </w:r>
          </w:p>
        </w:tc>
        <w:tc>
          <w:tcPr>
            <w:tcW w:w="7393" w:type="dxa"/>
          </w:tcPr>
          <w:p w:rsidR="003A2570" w:rsidRDefault="00134310" w:rsidP="00B21250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Whether the terms and conditions and number of shares proposed to be issued, premium, in any, and the period before which shares shall be allotted are disclosed.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34310">
            <w:r>
              <w:t>Ii</w:t>
            </w:r>
          </w:p>
        </w:tc>
        <w:tc>
          <w:tcPr>
            <w:tcW w:w="7393" w:type="dxa"/>
          </w:tcPr>
          <w:p w:rsidR="003A2570" w:rsidRDefault="00134310" w:rsidP="00B21250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75" w:lineRule="auto"/>
              <w:jc w:val="both"/>
            </w:pPr>
            <w:r>
              <w:rPr>
                <w:rFonts w:ascii="Calibri" w:hAnsi="Calibri" w:cs="Calibri"/>
              </w:rPr>
              <w:t xml:space="preserve">Whether the company has sufficient </w:t>
            </w:r>
            <w:proofErr w:type="spellStart"/>
            <w:r>
              <w:rPr>
                <w:rFonts w:ascii="Calibri" w:hAnsi="Calibri" w:cs="Calibri"/>
              </w:rPr>
              <w:t>authorised</w:t>
            </w:r>
            <w:proofErr w:type="spellEnd"/>
            <w:r>
              <w:rPr>
                <w:rFonts w:ascii="Calibri" w:hAnsi="Calibri" w:cs="Calibri"/>
              </w:rPr>
              <w:t xml:space="preserve"> capital to cover the share capital amount.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34310">
            <w:r>
              <w:t>Iii</w:t>
            </w:r>
          </w:p>
        </w:tc>
        <w:tc>
          <w:tcPr>
            <w:tcW w:w="7393" w:type="dxa"/>
          </w:tcPr>
          <w:p w:rsidR="003A2570" w:rsidRDefault="00134310" w:rsidP="00134310">
            <w:r>
              <w:rPr>
                <w:rFonts w:ascii="Calibri" w:hAnsi="Calibri" w:cs="Calibri"/>
              </w:rPr>
              <w:t>Whether the period for which the share application money has been pending beyond the period for allotment  are disclosed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34310">
            <w:r>
              <w:t>Iv</w:t>
            </w:r>
          </w:p>
        </w:tc>
        <w:tc>
          <w:tcPr>
            <w:tcW w:w="7393" w:type="dxa"/>
          </w:tcPr>
          <w:p w:rsidR="003A2570" w:rsidRDefault="009C0DBB" w:rsidP="00B21250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78" w:lineRule="auto"/>
              <w:jc w:val="both"/>
            </w:pPr>
            <w:r>
              <w:rPr>
                <w:rFonts w:ascii="Calibri" w:hAnsi="Calibri" w:cs="Calibri"/>
              </w:rPr>
              <w:t>Whether s</w:t>
            </w:r>
            <w:r w:rsidR="00134310">
              <w:rPr>
                <w:rFonts w:ascii="Calibri" w:hAnsi="Calibri" w:cs="Calibri"/>
              </w:rPr>
              <w:t xml:space="preserve">hare application money not exceeding the issued share capital and to the extent not refundable </w:t>
            </w:r>
            <w:r>
              <w:rPr>
                <w:rFonts w:ascii="Calibri" w:hAnsi="Calibri" w:cs="Calibri"/>
              </w:rPr>
              <w:t>are</w:t>
            </w:r>
            <w:r w:rsidR="00134310">
              <w:rPr>
                <w:rFonts w:ascii="Calibri" w:hAnsi="Calibri" w:cs="Calibri"/>
              </w:rPr>
              <w:t xml:space="preserve"> shown under equity and share application money to the extent refundable i.e., the amount in excess of subscription or in case, the requirements of minimum subscription are not net, it </w:t>
            </w:r>
            <w:r>
              <w:rPr>
                <w:rFonts w:ascii="Calibri" w:hAnsi="Calibri" w:cs="Calibri"/>
              </w:rPr>
              <w:t>are</w:t>
            </w:r>
            <w:r w:rsidR="00134310">
              <w:rPr>
                <w:rFonts w:ascii="Calibri" w:hAnsi="Calibri" w:cs="Calibri"/>
              </w:rPr>
              <w:t xml:space="preserve"> separately shown under 'Other Current Liabilities’.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(D)</w:t>
            </w:r>
          </w:p>
        </w:tc>
        <w:tc>
          <w:tcPr>
            <w:tcW w:w="7393" w:type="dxa"/>
          </w:tcPr>
          <w:p w:rsidR="003A2570" w:rsidRDefault="00D30A52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NON-CURRENT LIABILITIES</w:t>
            </w:r>
          </w:p>
          <w:p w:rsidR="00B21250" w:rsidRDefault="00B2125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(a)</w:t>
            </w:r>
          </w:p>
        </w:tc>
        <w:tc>
          <w:tcPr>
            <w:tcW w:w="7393" w:type="dxa"/>
          </w:tcPr>
          <w:p w:rsidR="003A2570" w:rsidRDefault="00D30A52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b/>
                <w:bCs/>
              </w:rPr>
              <w:t>Long-term Borrowings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I</w:t>
            </w:r>
          </w:p>
        </w:tc>
        <w:tc>
          <w:tcPr>
            <w:tcW w:w="7393" w:type="dxa"/>
          </w:tcPr>
          <w:p w:rsidR="00D30A52" w:rsidRDefault="00D30A52" w:rsidP="00D30A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Whether Long term Borrowings are classified into-</w:t>
            </w: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Bonds / Debentures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 Loans: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D30A52" w:rsidRDefault="00D30A52" w:rsidP="00D30A52">
            <w:pPr>
              <w:widowControl w:val="0"/>
              <w:numPr>
                <w:ilvl w:val="3"/>
                <w:numId w:val="8"/>
              </w:numPr>
              <w:tabs>
                <w:tab w:val="clear" w:pos="2880"/>
                <w:tab w:val="num" w:pos="18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840" w:hanging="19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Banks</w:t>
            </w:r>
          </w:p>
          <w:p w:rsidR="00D30A52" w:rsidRDefault="00D30A52" w:rsidP="00D30A52">
            <w:pPr>
              <w:widowControl w:val="0"/>
              <w:numPr>
                <w:ilvl w:val="3"/>
                <w:numId w:val="8"/>
              </w:numPr>
              <w:tabs>
                <w:tab w:val="clear" w:pos="2880"/>
                <w:tab w:val="num" w:pos="1860"/>
              </w:tabs>
              <w:overflowPunct w:val="0"/>
              <w:autoSpaceDE w:val="0"/>
              <w:autoSpaceDN w:val="0"/>
              <w:adjustRightInd w:val="0"/>
              <w:ind w:left="1860" w:hanging="21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Other Parties</w:t>
            </w: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Deferred Payment liabilities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Deposits shown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Loans and advances from related parties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 Term maturities of finance lease obligations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Loans and advances, specifying nature, shown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Ii</w:t>
            </w:r>
          </w:p>
        </w:tc>
        <w:tc>
          <w:tcPr>
            <w:tcW w:w="7393" w:type="dxa"/>
          </w:tcPr>
          <w:p w:rsidR="00D30A52" w:rsidRDefault="00D30A52" w:rsidP="00D30A5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Long term Borrowings are sub-classified as:</w:t>
            </w: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Secured(nature of the security to be specified)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D30A52" w:rsidP="00B21250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9" w:lineRule="exact"/>
              <w:ind w:left="1640" w:hanging="355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Unsecured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Iii</w:t>
            </w:r>
          </w:p>
        </w:tc>
        <w:tc>
          <w:tcPr>
            <w:tcW w:w="7393" w:type="dxa"/>
          </w:tcPr>
          <w:p w:rsidR="00D30A52" w:rsidRDefault="00D30A52" w:rsidP="00D30A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aggregate of loans guaranteed by the following are disclosed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Directors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D30A52" w:rsidP="00B21250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7" w:lineRule="exact"/>
              <w:ind w:left="1640" w:hanging="355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lastRenderedPageBreak/>
              <w:t>Iv</w:t>
            </w:r>
          </w:p>
        </w:tc>
        <w:tc>
          <w:tcPr>
            <w:tcW w:w="7393" w:type="dxa"/>
          </w:tcPr>
          <w:p w:rsidR="003A2570" w:rsidRDefault="00D30A52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</w:pPr>
            <w:r>
              <w:rPr>
                <w:rFonts w:ascii="Calibri" w:hAnsi="Calibri" w:cs="Calibri"/>
              </w:rPr>
              <w:t>Whether rate of interest and terms of redemption / conversion of bonds / debentures (to be stated in descending order of maturity of redemption / conversion</w:t>
            </w:r>
            <w:proofErr w:type="gramStart"/>
            <w:r>
              <w:rPr>
                <w:rFonts w:ascii="Calibri" w:hAnsi="Calibri" w:cs="Calibri"/>
              </w:rPr>
              <w:t>)are</w:t>
            </w:r>
            <w:proofErr w:type="gramEnd"/>
            <w:r>
              <w:rPr>
                <w:rFonts w:ascii="Calibri" w:hAnsi="Calibri" w:cs="Calibri"/>
              </w:rPr>
              <w:t xml:space="preserve"> disclosed.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V</w:t>
            </w:r>
          </w:p>
        </w:tc>
        <w:tc>
          <w:tcPr>
            <w:tcW w:w="7393" w:type="dxa"/>
          </w:tcPr>
          <w:p w:rsidR="003A2570" w:rsidRDefault="00D30A52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Whether particulars of the redeemed bonds which can be reissued are shown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Vi</w:t>
            </w:r>
          </w:p>
        </w:tc>
        <w:tc>
          <w:tcPr>
            <w:tcW w:w="7393" w:type="dxa"/>
          </w:tcPr>
          <w:p w:rsidR="00D30A52" w:rsidRDefault="00D30A52" w:rsidP="00D30A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terms of repayment of the following  are  shown: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D30A52" w:rsidRDefault="00D30A52" w:rsidP="00D30A52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 loans</w:t>
            </w:r>
          </w:p>
          <w:p w:rsidR="00D30A52" w:rsidRDefault="00D30A52" w:rsidP="00D30A52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D30A52" w:rsidP="00B21250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9" w:lineRule="exact"/>
              <w:ind w:left="1640" w:hanging="355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Other Loans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D30A52">
            <w:r>
              <w:t>Vii</w:t>
            </w:r>
          </w:p>
        </w:tc>
        <w:tc>
          <w:tcPr>
            <w:tcW w:w="7393" w:type="dxa"/>
          </w:tcPr>
          <w:p w:rsidR="003A2570" w:rsidRDefault="00D30A52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jc w:val="both"/>
            </w:pPr>
            <w:r>
              <w:rPr>
                <w:rFonts w:ascii="Calibri" w:hAnsi="Calibri" w:cs="Calibri"/>
              </w:rPr>
              <w:t>Whether period and amount of continuing default in the repayment of loans and interest are shown separately in each case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BE59BB">
            <w:r>
              <w:t>(b)</w:t>
            </w:r>
          </w:p>
        </w:tc>
        <w:tc>
          <w:tcPr>
            <w:tcW w:w="7393" w:type="dxa"/>
          </w:tcPr>
          <w:p w:rsidR="00BE59BB" w:rsidRDefault="00BE59BB" w:rsidP="00BE5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Other Long-term Liabilities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  <w:b/>
                <w:bCs/>
              </w:rPr>
            </w:pPr>
          </w:p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2009A">
            <w:r>
              <w:t>I</w:t>
            </w:r>
          </w:p>
        </w:tc>
        <w:tc>
          <w:tcPr>
            <w:tcW w:w="7393" w:type="dxa"/>
          </w:tcPr>
          <w:p w:rsidR="00BE59BB" w:rsidRDefault="00BE59BB" w:rsidP="00BE5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 other long term liabilities are classified as :-</w:t>
            </w:r>
          </w:p>
          <w:p w:rsidR="00BE59BB" w:rsidRDefault="00BE59BB" w:rsidP="00BE59BB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Trade payables 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Pr="00B21250" w:rsidRDefault="00BE59BB" w:rsidP="00B21250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5" w:lineRule="exact"/>
              <w:ind w:left="1640" w:hanging="355"/>
              <w:jc w:val="both"/>
              <w:rPr>
                <w:rFonts w:ascii="Arial" w:hAnsi="Arial" w:cs="Arial"/>
              </w:rPr>
            </w:pPr>
            <w:r w:rsidRPr="00B21250">
              <w:rPr>
                <w:rFonts w:ascii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BE59BB">
            <w:r>
              <w:t>©</w:t>
            </w:r>
          </w:p>
        </w:tc>
        <w:tc>
          <w:tcPr>
            <w:tcW w:w="7393" w:type="dxa"/>
          </w:tcPr>
          <w:p w:rsidR="00BE59BB" w:rsidRDefault="00BE59BB" w:rsidP="00BE5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Long-Term Provisions</w:t>
            </w:r>
          </w:p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12009A">
            <w:r>
              <w:t>I</w:t>
            </w:r>
          </w:p>
        </w:tc>
        <w:tc>
          <w:tcPr>
            <w:tcW w:w="7393" w:type="dxa"/>
          </w:tcPr>
          <w:p w:rsidR="00BE59BB" w:rsidRDefault="00BE59BB" w:rsidP="00BE5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long term  Provisions are classified  as:</w:t>
            </w:r>
          </w:p>
          <w:p w:rsidR="00BE59BB" w:rsidRDefault="00BE59BB" w:rsidP="00BE59BB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Provision for employee benefits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Pr="00B21250" w:rsidRDefault="00BE59BB" w:rsidP="00B21250">
            <w:pPr>
              <w:widowControl w:val="0"/>
              <w:numPr>
                <w:ilvl w:val="2"/>
                <w:numId w:val="8"/>
              </w:numPr>
              <w:tabs>
                <w:tab w:val="clear" w:pos="216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64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BE59BB">
            <w:r>
              <w:t>(E)</w:t>
            </w:r>
          </w:p>
        </w:tc>
        <w:tc>
          <w:tcPr>
            <w:tcW w:w="7393" w:type="dxa"/>
          </w:tcPr>
          <w:p w:rsidR="003A2570" w:rsidRDefault="00BE59BB">
            <w:r>
              <w:rPr>
                <w:rFonts w:ascii="Calibri" w:hAnsi="Calibri" w:cs="Calibri"/>
                <w:b/>
                <w:bCs/>
                <w:u w:val="single"/>
              </w:rPr>
              <w:t>CURRENT LIABILITIES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BE59BB">
            <w:r>
              <w:t>(a)</w:t>
            </w:r>
          </w:p>
        </w:tc>
        <w:tc>
          <w:tcPr>
            <w:tcW w:w="7393" w:type="dxa"/>
          </w:tcPr>
          <w:p w:rsidR="003A2570" w:rsidRDefault="00BE59BB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b/>
                <w:bCs/>
              </w:rPr>
              <w:t>Short-Term Borrowings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C0475A">
            <w:r>
              <w:t>I</w:t>
            </w:r>
          </w:p>
        </w:tc>
        <w:tc>
          <w:tcPr>
            <w:tcW w:w="7393" w:type="dxa"/>
          </w:tcPr>
          <w:p w:rsidR="00BE59BB" w:rsidRDefault="00BE59BB" w:rsidP="00BE5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borrowings are classified as: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BE59BB" w:rsidRDefault="00BE59BB" w:rsidP="00BE59BB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Loans repayable on demand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E59BB" w:rsidRDefault="00BE59BB" w:rsidP="00BE59BB">
            <w:pPr>
              <w:widowControl w:val="0"/>
              <w:numPr>
                <w:ilvl w:val="4"/>
                <w:numId w:val="12"/>
              </w:numPr>
              <w:tabs>
                <w:tab w:val="clear" w:pos="3600"/>
                <w:tab w:val="num" w:pos="18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840" w:hanging="19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banks</w:t>
            </w:r>
          </w:p>
          <w:p w:rsidR="00BE59BB" w:rsidRDefault="00BE59BB" w:rsidP="00BE59BB">
            <w:pPr>
              <w:widowControl w:val="0"/>
              <w:numPr>
                <w:ilvl w:val="4"/>
                <w:numId w:val="12"/>
              </w:numPr>
              <w:tabs>
                <w:tab w:val="clear" w:pos="3600"/>
                <w:tab w:val="num" w:pos="1860"/>
              </w:tabs>
              <w:overflowPunct w:val="0"/>
              <w:autoSpaceDE w:val="0"/>
              <w:autoSpaceDN w:val="0"/>
              <w:adjustRightInd w:val="0"/>
              <w:ind w:left="1860" w:hanging="21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other parties</w:t>
            </w:r>
          </w:p>
          <w:p w:rsidR="00BE59BB" w:rsidRDefault="00BE59BB" w:rsidP="00BE59BB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Loans and Advances from related parties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E59BB" w:rsidRDefault="00BE59BB" w:rsidP="00BE59BB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Deposits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Pr="00B21250" w:rsidRDefault="00BE59BB" w:rsidP="00B2125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Loans and Advances, specifying nature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C0475A">
            <w:r>
              <w:t>I</w:t>
            </w:r>
            <w:r w:rsidR="007B3588">
              <w:t>i</w:t>
            </w:r>
          </w:p>
        </w:tc>
        <w:tc>
          <w:tcPr>
            <w:tcW w:w="7393" w:type="dxa"/>
          </w:tcPr>
          <w:p w:rsidR="00BE59BB" w:rsidRDefault="00BE59BB" w:rsidP="00BE5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further sub-classification of the borrowings are made into: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BE59BB" w:rsidRDefault="00BE59BB" w:rsidP="00BE59BB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Secured(nature of the security to be specified)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BE59BB" w:rsidP="00B2125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9" w:lineRule="exact"/>
              <w:ind w:left="1640" w:hanging="355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Unsecured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C0475A">
            <w:r>
              <w:t>I</w:t>
            </w:r>
            <w:r w:rsidR="007B3588">
              <w:t>ii</w:t>
            </w:r>
          </w:p>
        </w:tc>
        <w:tc>
          <w:tcPr>
            <w:tcW w:w="7393" w:type="dxa"/>
          </w:tcPr>
          <w:p w:rsidR="00BE59BB" w:rsidRDefault="007B3588" w:rsidP="007B35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a</w:t>
            </w:r>
            <w:r w:rsidR="00BE59BB">
              <w:rPr>
                <w:rFonts w:ascii="Calibri" w:hAnsi="Calibri" w:cs="Calibri"/>
              </w:rPr>
              <w:t xml:space="preserve">ggregate of loans guaranteed by the following </w:t>
            </w:r>
            <w:r>
              <w:rPr>
                <w:rFonts w:ascii="Calibri" w:hAnsi="Calibri" w:cs="Calibri"/>
              </w:rPr>
              <w:t xml:space="preserve">are </w:t>
            </w:r>
            <w:r w:rsidR="00BE59BB">
              <w:rPr>
                <w:rFonts w:ascii="Calibri" w:hAnsi="Calibri" w:cs="Calibri"/>
              </w:rPr>
              <w:t xml:space="preserve"> disclosed: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BE59BB" w:rsidRDefault="00BE59BB" w:rsidP="00BE59BB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Directors</w:t>
            </w:r>
          </w:p>
          <w:p w:rsidR="00BE59BB" w:rsidRDefault="00BE59BB" w:rsidP="00BE59BB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Default="00BE59BB" w:rsidP="00B2125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57" w:lineRule="exact"/>
              <w:ind w:left="1640" w:hanging="355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7477F0">
            <w:r>
              <w:t>Iv</w:t>
            </w:r>
          </w:p>
        </w:tc>
        <w:tc>
          <w:tcPr>
            <w:tcW w:w="7393" w:type="dxa"/>
          </w:tcPr>
          <w:p w:rsidR="003A2570" w:rsidRPr="00B21250" w:rsidRDefault="007477F0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period and amount of continuing default in the Repayment of Loans and Interest are shown separately in each case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7477F0">
            <w:r>
              <w:t>(b)</w:t>
            </w:r>
          </w:p>
        </w:tc>
        <w:tc>
          <w:tcPr>
            <w:tcW w:w="7393" w:type="dxa"/>
          </w:tcPr>
          <w:p w:rsidR="003A2570" w:rsidRDefault="007477F0">
            <w:r>
              <w:rPr>
                <w:rFonts w:ascii="Calibri" w:hAnsi="Calibri" w:cs="Calibri"/>
                <w:b/>
                <w:bCs/>
              </w:rPr>
              <w:t>Trade Payables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7477F0">
            <w:r>
              <w:t>©</w:t>
            </w:r>
          </w:p>
        </w:tc>
        <w:tc>
          <w:tcPr>
            <w:tcW w:w="7393" w:type="dxa"/>
          </w:tcPr>
          <w:p w:rsidR="007477F0" w:rsidRDefault="007477F0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Other Current Liabilities</w:t>
            </w:r>
          </w:p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C0475A">
            <w:r>
              <w:t>I</w:t>
            </w:r>
          </w:p>
        </w:tc>
        <w:tc>
          <w:tcPr>
            <w:tcW w:w="7393" w:type="dxa"/>
          </w:tcPr>
          <w:p w:rsidR="007477F0" w:rsidRDefault="007477F0" w:rsidP="007477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other current liabilities are classified into: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Current maturities of Long term debt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Current maturities of finance lease obligations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 accrued but not due on borrowings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 accrued and due on borrowings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Income received in advance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1" w:lineRule="exact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E83">
              <w:rPr>
                <w:rFonts w:ascii="Calibri" w:hAnsi="Calibri" w:cs="Calibri"/>
                <w:sz w:val="20"/>
                <w:szCs w:val="20"/>
              </w:rPr>
              <w:t>Application money received for allotment of securities and due for refund and interest accrued thereon.</w:t>
            </w:r>
            <w:r w:rsidR="00E42E83" w:rsidRPr="00E42E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Unpaid matured deposits and interests accrued thereon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477F0" w:rsidRDefault="007477F0" w:rsidP="007477F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Unpaid matured debentures and interest accrued thereon</w:t>
            </w:r>
          </w:p>
          <w:p w:rsidR="007477F0" w:rsidRDefault="007477F0" w:rsidP="007477F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A2570" w:rsidRPr="00B21250" w:rsidRDefault="007477F0" w:rsidP="00B2125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payables, specifying nature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860F35">
            <w:r>
              <w:t>(d)</w:t>
            </w:r>
          </w:p>
        </w:tc>
        <w:tc>
          <w:tcPr>
            <w:tcW w:w="7393" w:type="dxa"/>
          </w:tcPr>
          <w:p w:rsidR="003A2570" w:rsidRPr="00A324AF" w:rsidRDefault="00860F35" w:rsidP="00A324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Short- term Provisions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C0475A">
            <w:r>
              <w:t>I</w:t>
            </w:r>
          </w:p>
        </w:tc>
        <w:tc>
          <w:tcPr>
            <w:tcW w:w="7393" w:type="dxa"/>
          </w:tcPr>
          <w:p w:rsidR="00860F35" w:rsidRDefault="00860F35" w:rsidP="00860F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short term provisions are classified into: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60F35" w:rsidRDefault="00860F35" w:rsidP="00860F35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ind w:left="1640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Provision for employee benefits</w:t>
            </w:r>
          </w:p>
          <w:p w:rsidR="003A2570" w:rsidRPr="00B21250" w:rsidRDefault="00860F35" w:rsidP="00B21250">
            <w:pPr>
              <w:widowControl w:val="0"/>
              <w:numPr>
                <w:ilvl w:val="3"/>
                <w:numId w:val="12"/>
              </w:numPr>
              <w:tabs>
                <w:tab w:val="clear" w:pos="2880"/>
                <w:tab w:val="num" w:pos="164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640" w:hanging="355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Others, specifying nature</w:t>
            </w:r>
          </w:p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3A2570" w:rsidRPr="002B1668" w:rsidTr="00EC760D">
        <w:tc>
          <w:tcPr>
            <w:tcW w:w="695" w:type="dxa"/>
          </w:tcPr>
          <w:p w:rsidR="003A2570" w:rsidRDefault="003A2570"/>
        </w:tc>
        <w:tc>
          <w:tcPr>
            <w:tcW w:w="7393" w:type="dxa"/>
          </w:tcPr>
          <w:p w:rsidR="003A2570" w:rsidRDefault="003A2570"/>
        </w:tc>
        <w:tc>
          <w:tcPr>
            <w:tcW w:w="732" w:type="dxa"/>
          </w:tcPr>
          <w:p w:rsidR="003A2570" w:rsidRDefault="003A2570"/>
        </w:tc>
        <w:tc>
          <w:tcPr>
            <w:tcW w:w="540" w:type="dxa"/>
          </w:tcPr>
          <w:p w:rsidR="003A2570" w:rsidRDefault="003A2570"/>
        </w:tc>
        <w:tc>
          <w:tcPr>
            <w:tcW w:w="720" w:type="dxa"/>
          </w:tcPr>
          <w:p w:rsidR="003A2570" w:rsidRDefault="003A2570"/>
        </w:tc>
      </w:tr>
      <w:tr w:rsidR="00860F35" w:rsidRPr="002B1668" w:rsidTr="00EC760D">
        <w:tc>
          <w:tcPr>
            <w:tcW w:w="695" w:type="dxa"/>
          </w:tcPr>
          <w:p w:rsidR="00860F35" w:rsidRDefault="00860F35">
            <w:r>
              <w:t>(F)</w:t>
            </w:r>
          </w:p>
        </w:tc>
        <w:tc>
          <w:tcPr>
            <w:tcW w:w="7393" w:type="dxa"/>
          </w:tcPr>
          <w:p w:rsidR="00860F35" w:rsidRDefault="00860F35" w:rsidP="00860F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NON-CURRENT ASSETS</w:t>
            </w:r>
          </w:p>
          <w:p w:rsidR="00860F35" w:rsidRDefault="00860F35"/>
        </w:tc>
        <w:tc>
          <w:tcPr>
            <w:tcW w:w="732" w:type="dxa"/>
          </w:tcPr>
          <w:p w:rsidR="00860F35" w:rsidRDefault="00860F35"/>
        </w:tc>
        <w:tc>
          <w:tcPr>
            <w:tcW w:w="540" w:type="dxa"/>
          </w:tcPr>
          <w:p w:rsidR="00860F35" w:rsidRDefault="00860F35"/>
        </w:tc>
        <w:tc>
          <w:tcPr>
            <w:tcW w:w="720" w:type="dxa"/>
          </w:tcPr>
          <w:p w:rsidR="00860F35" w:rsidRDefault="00860F35"/>
        </w:tc>
      </w:tr>
      <w:tr w:rsidR="00860F35" w:rsidRPr="002B1668" w:rsidTr="00EC760D">
        <w:tc>
          <w:tcPr>
            <w:tcW w:w="695" w:type="dxa"/>
          </w:tcPr>
          <w:p w:rsidR="00860F35" w:rsidRDefault="00860F35">
            <w:r>
              <w:t>(a)</w:t>
            </w:r>
          </w:p>
        </w:tc>
        <w:tc>
          <w:tcPr>
            <w:tcW w:w="7393" w:type="dxa"/>
          </w:tcPr>
          <w:p w:rsidR="00860F35" w:rsidRDefault="00860F35" w:rsidP="00860F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Tangible Fixed Assets</w:t>
            </w:r>
          </w:p>
          <w:p w:rsidR="00860F35" w:rsidRDefault="00860F35"/>
        </w:tc>
        <w:tc>
          <w:tcPr>
            <w:tcW w:w="732" w:type="dxa"/>
          </w:tcPr>
          <w:p w:rsidR="00860F35" w:rsidRDefault="00860F35"/>
        </w:tc>
        <w:tc>
          <w:tcPr>
            <w:tcW w:w="540" w:type="dxa"/>
          </w:tcPr>
          <w:p w:rsidR="00860F35" w:rsidRDefault="00860F35"/>
        </w:tc>
        <w:tc>
          <w:tcPr>
            <w:tcW w:w="720" w:type="dxa"/>
          </w:tcPr>
          <w:p w:rsidR="00860F35" w:rsidRDefault="00860F35"/>
        </w:tc>
      </w:tr>
      <w:tr w:rsidR="00860F35" w:rsidRPr="002B1668" w:rsidTr="00EC760D">
        <w:tc>
          <w:tcPr>
            <w:tcW w:w="695" w:type="dxa"/>
          </w:tcPr>
          <w:p w:rsidR="00860F35" w:rsidRDefault="002B1668">
            <w:r>
              <w:t>I</w:t>
            </w:r>
          </w:p>
        </w:tc>
        <w:tc>
          <w:tcPr>
            <w:tcW w:w="7393" w:type="dxa"/>
          </w:tcPr>
          <w:p w:rsidR="00860F35" w:rsidRDefault="00860F35" w:rsidP="00860F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Whether tangible assets are </w:t>
            </w:r>
            <w:r w:rsidR="00E42E83">
              <w:rPr>
                <w:rFonts w:ascii="Calibri" w:hAnsi="Calibri" w:cs="Calibri"/>
              </w:rPr>
              <w:t xml:space="preserve">classified </w:t>
            </w:r>
            <w:r>
              <w:rPr>
                <w:rFonts w:ascii="Calibri" w:hAnsi="Calibri" w:cs="Calibri"/>
              </w:rPr>
              <w:t>into:</w:t>
            </w:r>
          </w:p>
          <w:p w:rsidR="00860F35" w:rsidRDefault="00860F35" w:rsidP="00860F35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60F35" w:rsidRDefault="00860F35" w:rsidP="00860F35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Buildings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60F35" w:rsidRDefault="00860F35" w:rsidP="00860F35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Plant and Equipment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60F35" w:rsidRDefault="00860F35" w:rsidP="00860F35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Furniture and fixtures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60F35" w:rsidRDefault="00860F35" w:rsidP="00860F35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Vehicles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60F35" w:rsidRDefault="00860F35" w:rsidP="00860F35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Equipments</w:t>
            </w:r>
          </w:p>
          <w:p w:rsidR="00860F35" w:rsidRDefault="00860F35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60F35" w:rsidRPr="00B21250" w:rsidRDefault="00860F35" w:rsidP="00B21250">
            <w:pPr>
              <w:widowControl w:val="0"/>
              <w:numPr>
                <w:ilvl w:val="5"/>
                <w:numId w:val="16"/>
              </w:numPr>
              <w:tabs>
                <w:tab w:val="clear" w:pos="432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860F35" w:rsidRDefault="00860F35"/>
        </w:tc>
        <w:tc>
          <w:tcPr>
            <w:tcW w:w="540" w:type="dxa"/>
          </w:tcPr>
          <w:p w:rsidR="00860F35" w:rsidRDefault="00860F35"/>
        </w:tc>
        <w:tc>
          <w:tcPr>
            <w:tcW w:w="720" w:type="dxa"/>
          </w:tcPr>
          <w:p w:rsidR="00860F35" w:rsidRDefault="00860F35"/>
        </w:tc>
      </w:tr>
      <w:tr w:rsidR="00C0475A" w:rsidRPr="002B1668" w:rsidTr="00EC760D">
        <w:tc>
          <w:tcPr>
            <w:tcW w:w="695" w:type="dxa"/>
          </w:tcPr>
          <w:p w:rsidR="00C0475A" w:rsidRDefault="00C0475A" w:rsidP="0058604E">
            <w:r>
              <w:t>Ii</w:t>
            </w:r>
          </w:p>
        </w:tc>
        <w:tc>
          <w:tcPr>
            <w:tcW w:w="7393" w:type="dxa"/>
          </w:tcPr>
          <w:p w:rsidR="00C0475A" w:rsidRDefault="00C0475A" w:rsidP="00C047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Intangible Assets are classified  into:</w:t>
            </w: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Goodwill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Brands/trademarks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software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Mastheads and publishing titles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Mining rights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Copyrights and patents and other Intellectual property rights, services and operating rights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Recipes, formulae, models, designs and prototypes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C0475A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Licenses and franchises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C0475A" w:rsidP="00B21250">
            <w:pPr>
              <w:widowControl w:val="0"/>
              <w:numPr>
                <w:ilvl w:val="2"/>
                <w:numId w:val="19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2440" w:hanging="369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C0475A" w:rsidRDefault="00C0475A" w:rsidP="0058604E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>
            <w:r>
              <w:t>Iii</w:t>
            </w:r>
          </w:p>
        </w:tc>
        <w:tc>
          <w:tcPr>
            <w:tcW w:w="7393" w:type="dxa"/>
          </w:tcPr>
          <w:p w:rsidR="00C0475A" w:rsidRDefault="00C0475A" w:rsidP="00860F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Whether asset under lease are shown separately under each class of asset.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>
            <w:r>
              <w:t>Iv</w:t>
            </w:r>
          </w:p>
        </w:tc>
        <w:tc>
          <w:tcPr>
            <w:tcW w:w="7393" w:type="dxa"/>
          </w:tcPr>
          <w:p w:rsidR="00C0475A" w:rsidRDefault="00C0475A" w:rsidP="00860F35">
            <w:pPr>
              <w:widowControl w:val="0"/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Reconciliation of gross and net carrying amounts of each class of assets at the beginning and end of the reporting period showing:</w:t>
            </w:r>
          </w:p>
          <w:p w:rsidR="00C0475A" w:rsidRDefault="00C0475A" w:rsidP="00860F35">
            <w:pPr>
              <w:widowControl w:val="0"/>
              <w:numPr>
                <w:ilvl w:val="2"/>
                <w:numId w:val="18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Additions</w:t>
            </w:r>
          </w:p>
          <w:p w:rsidR="00C0475A" w:rsidRDefault="00C0475A" w:rsidP="00860F3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860F35">
            <w:pPr>
              <w:widowControl w:val="0"/>
              <w:numPr>
                <w:ilvl w:val="2"/>
                <w:numId w:val="18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Disposals</w:t>
            </w:r>
          </w:p>
          <w:p w:rsidR="00C0475A" w:rsidRDefault="00C0475A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860F35">
            <w:pPr>
              <w:widowControl w:val="0"/>
              <w:numPr>
                <w:ilvl w:val="2"/>
                <w:numId w:val="18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Acquisitions through business combinations</w:t>
            </w:r>
          </w:p>
          <w:p w:rsidR="00C0475A" w:rsidRDefault="00C0475A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860F35">
            <w:pPr>
              <w:widowControl w:val="0"/>
              <w:numPr>
                <w:ilvl w:val="2"/>
                <w:numId w:val="18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Adjustments</w:t>
            </w:r>
          </w:p>
          <w:p w:rsidR="00C0475A" w:rsidRDefault="00C0475A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860F35">
            <w:pPr>
              <w:widowControl w:val="0"/>
              <w:numPr>
                <w:ilvl w:val="2"/>
                <w:numId w:val="18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44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Depreciation</w:t>
            </w:r>
          </w:p>
          <w:p w:rsidR="00C0475A" w:rsidRDefault="00C0475A" w:rsidP="00860F3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B21250">
            <w:pPr>
              <w:widowControl w:val="0"/>
              <w:numPr>
                <w:ilvl w:val="2"/>
                <w:numId w:val="18"/>
              </w:numPr>
              <w:tabs>
                <w:tab w:val="clear" w:pos="2160"/>
                <w:tab w:val="num" w:pos="244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2440" w:hanging="369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Impairment losses/reversals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>
            <w:r>
              <w:t>V</w:t>
            </w:r>
          </w:p>
        </w:tc>
        <w:tc>
          <w:tcPr>
            <w:tcW w:w="7393" w:type="dxa"/>
          </w:tcPr>
          <w:p w:rsidR="00C0475A" w:rsidRPr="00B21250" w:rsidRDefault="00C0475A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a capital reduction scheme or a revaluation of assets has taken place, every balance sheet subsequent to the reduction or revaluation shall show the reduced/increased figures, the date of the reduction/increase and the amount of reduction / increase for the first 5 years subsequent to the reduction / revaluation.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/>
        </w:tc>
        <w:tc>
          <w:tcPr>
            <w:tcW w:w="7393" w:type="dxa"/>
          </w:tcPr>
          <w:p w:rsidR="00C0475A" w:rsidRPr="00C0475A" w:rsidRDefault="00C0475A" w:rsidP="00C047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>
            <w:r>
              <w:t>(b)</w:t>
            </w:r>
          </w:p>
        </w:tc>
        <w:tc>
          <w:tcPr>
            <w:tcW w:w="7393" w:type="dxa"/>
          </w:tcPr>
          <w:p w:rsidR="00C0475A" w:rsidRDefault="00C0475A" w:rsidP="00C047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Non-Current Investments</w:t>
            </w:r>
          </w:p>
          <w:p w:rsidR="00C0475A" w:rsidRDefault="00C0475A"/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12009A">
            <w:r>
              <w:lastRenderedPageBreak/>
              <w:t>I</w:t>
            </w:r>
          </w:p>
        </w:tc>
        <w:tc>
          <w:tcPr>
            <w:tcW w:w="7393" w:type="dxa"/>
          </w:tcPr>
          <w:p w:rsidR="00C0475A" w:rsidRDefault="00C0475A" w:rsidP="00C047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Whether  Non-current Investments </w:t>
            </w:r>
            <w:r w:rsidR="00B20A63">
              <w:rPr>
                <w:rFonts w:ascii="Calibri" w:hAnsi="Calibri" w:cs="Calibri"/>
              </w:rPr>
              <w:t xml:space="preserve">are classified </w:t>
            </w:r>
            <w:r>
              <w:rPr>
                <w:rFonts w:ascii="Calibri" w:hAnsi="Calibri" w:cs="Calibri"/>
              </w:rPr>
              <w:t>into:</w:t>
            </w:r>
          </w:p>
          <w:p w:rsidR="00C0475A" w:rsidRDefault="00C0475A" w:rsidP="00C0475A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Trade investments</w:t>
            </w:r>
          </w:p>
          <w:p w:rsidR="00C0475A" w:rsidRDefault="00C0475A" w:rsidP="00C0475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 w:rsidP="00B21250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Other Investments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12009A">
            <w:r>
              <w:t>Ii</w:t>
            </w:r>
          </w:p>
        </w:tc>
        <w:tc>
          <w:tcPr>
            <w:tcW w:w="7393" w:type="dxa"/>
          </w:tcPr>
          <w:p w:rsidR="00B20A63" w:rsidRDefault="00B20A63" w:rsidP="00B20A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</w:t>
            </w:r>
            <w:r w:rsidR="00AA5116">
              <w:rPr>
                <w:rFonts w:ascii="Calibri" w:hAnsi="Calibri" w:cs="Calibri"/>
              </w:rPr>
              <w:t>r further Sub-classification have</w:t>
            </w:r>
            <w:r>
              <w:rPr>
                <w:rFonts w:ascii="Calibri" w:hAnsi="Calibri" w:cs="Calibri"/>
              </w:rPr>
              <w:t xml:space="preserve"> been made into: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Property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Equity instruments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Preference shares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Government or trust securities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Debentures or Bonds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Mutual funds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Partnership firms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B20A63" w:rsidP="00B21250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720" w:hanging="369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12009A">
            <w:r>
              <w:t>Iii</w:t>
            </w:r>
          </w:p>
        </w:tc>
        <w:tc>
          <w:tcPr>
            <w:tcW w:w="7393" w:type="dxa"/>
          </w:tcPr>
          <w:p w:rsidR="00B20A63" w:rsidRDefault="00B20A63" w:rsidP="00B20A63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In case of investments in bodies corporate ,whether foll</w:t>
            </w:r>
            <w:r w:rsidR="00AA5116">
              <w:rPr>
                <w:rFonts w:ascii="Calibri" w:hAnsi="Calibri" w:cs="Calibri"/>
              </w:rPr>
              <w:t>owing additional disclosures have</w:t>
            </w:r>
            <w:r>
              <w:rPr>
                <w:rFonts w:ascii="Calibri" w:hAnsi="Calibri" w:cs="Calibri"/>
              </w:rPr>
              <w:t xml:space="preserve"> been made under each classification:</w:t>
            </w: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41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Names of the body corporate (indicating whether they are associates, joint ventures, subsidiaries or controlled special purpose entities)</w:t>
            </w: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Nature and extent of the investments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B20A63" w:rsidP="00B21250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Partly paid investments to be separately shown.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12009A">
            <w:r>
              <w:t>Iv</w:t>
            </w:r>
          </w:p>
        </w:tc>
        <w:tc>
          <w:tcPr>
            <w:tcW w:w="7393" w:type="dxa"/>
          </w:tcPr>
          <w:p w:rsidR="00B20A63" w:rsidRDefault="00B20A63" w:rsidP="00B20A63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case of investments in partnership firms, whether foll</w:t>
            </w:r>
            <w:r w:rsidR="00AA5116">
              <w:rPr>
                <w:rFonts w:ascii="Calibri" w:hAnsi="Calibri" w:cs="Calibri"/>
              </w:rPr>
              <w:t>owing additional disclosures have</w:t>
            </w:r>
            <w:r>
              <w:rPr>
                <w:rFonts w:ascii="Calibri" w:hAnsi="Calibri" w:cs="Calibri"/>
              </w:rPr>
              <w:t xml:space="preserve"> been  made under each classification:</w:t>
            </w:r>
          </w:p>
          <w:p w:rsidR="00B20A63" w:rsidRDefault="00B20A63" w:rsidP="00B20A63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Names of the firms and their respective partners</w:t>
            </w:r>
          </w:p>
          <w:p w:rsidR="00B20A63" w:rsidRDefault="00B20A63" w:rsidP="00B20A63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B20A63" w:rsidP="00B21250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capital and the profit sharing ratio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12009A">
            <w:r>
              <w:t>V</w:t>
            </w:r>
          </w:p>
        </w:tc>
        <w:tc>
          <w:tcPr>
            <w:tcW w:w="7393" w:type="dxa"/>
          </w:tcPr>
          <w:p w:rsidR="00C0475A" w:rsidRDefault="00B20A63" w:rsidP="00AA511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>
              <w:rPr>
                <w:rFonts w:ascii="Calibri" w:hAnsi="Calibri" w:cs="Calibri"/>
              </w:rPr>
              <w:t>Whether separately disclosure ha</w:t>
            </w:r>
            <w:r w:rsidR="00AA5116">
              <w:rPr>
                <w:rFonts w:ascii="Calibri" w:hAnsi="Calibri" w:cs="Calibri"/>
              </w:rPr>
              <w:t>ve</w:t>
            </w:r>
            <w:r>
              <w:rPr>
                <w:rFonts w:ascii="Calibri" w:hAnsi="Calibri" w:cs="Calibri"/>
              </w:rPr>
              <w:t xml:space="preserve"> been made </w:t>
            </w:r>
            <w:r w:rsidR="0012009A">
              <w:rPr>
                <w:rFonts w:ascii="Calibri" w:hAnsi="Calibri" w:cs="Calibri"/>
              </w:rPr>
              <w:t xml:space="preserve">in case </w:t>
            </w:r>
            <w:r>
              <w:rPr>
                <w:rFonts w:ascii="Calibri" w:hAnsi="Calibri" w:cs="Calibri"/>
              </w:rPr>
              <w:t xml:space="preserve">Investments carried at other than costs </w:t>
            </w:r>
            <w:r w:rsidR="0012009A">
              <w:rPr>
                <w:rFonts w:ascii="Calibri" w:hAnsi="Calibri" w:cs="Calibri"/>
              </w:rPr>
              <w:t xml:space="preserve">(specified the </w:t>
            </w:r>
            <w:proofErr w:type="gramStart"/>
            <w:r w:rsidR="0012009A">
              <w:rPr>
                <w:rFonts w:ascii="Calibri" w:hAnsi="Calibri" w:cs="Calibri"/>
              </w:rPr>
              <w:t>valuation )</w:t>
            </w:r>
            <w:proofErr w:type="gramEnd"/>
            <w:r w:rsidR="0012009A">
              <w:rPr>
                <w:rFonts w:ascii="Calibri" w:hAnsi="Calibri" w:cs="Calibri"/>
              </w:rPr>
              <w:t>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2B1668">
            <w:r>
              <w:t>V</w:t>
            </w:r>
            <w:r w:rsidR="0012009A">
              <w:t>i</w:t>
            </w:r>
          </w:p>
        </w:tc>
        <w:tc>
          <w:tcPr>
            <w:tcW w:w="7393" w:type="dxa"/>
          </w:tcPr>
          <w:p w:rsidR="0012009A" w:rsidRDefault="0012009A" w:rsidP="00AA51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following additionally disclosure ha</w:t>
            </w:r>
            <w:r w:rsidR="00AA5116">
              <w:rPr>
                <w:rFonts w:ascii="Calibri" w:hAnsi="Calibri" w:cs="Calibri"/>
              </w:rPr>
              <w:t>ve</w:t>
            </w:r>
            <w:r>
              <w:rPr>
                <w:rFonts w:ascii="Calibri" w:hAnsi="Calibri" w:cs="Calibri"/>
              </w:rPr>
              <w:t xml:space="preserve"> been made 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12009A" w:rsidRDefault="0012009A" w:rsidP="0012009A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book value of Quoted Investments and market value thereof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12009A" w:rsidRDefault="0012009A" w:rsidP="0012009A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amount of unquoted investments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12009A" w:rsidP="00B21250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provision for diminution in value of investments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/>
        </w:tc>
        <w:tc>
          <w:tcPr>
            <w:tcW w:w="7393" w:type="dxa"/>
          </w:tcPr>
          <w:p w:rsidR="00C0475A" w:rsidRDefault="00C0475A"/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12009A">
            <w:r>
              <w:t>©</w:t>
            </w:r>
          </w:p>
        </w:tc>
        <w:tc>
          <w:tcPr>
            <w:tcW w:w="7393" w:type="dxa"/>
          </w:tcPr>
          <w:p w:rsidR="00C0475A" w:rsidRPr="00CA6AFA" w:rsidRDefault="0012009A" w:rsidP="00CA6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Long Term Loans And Advances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335DB1">
            <w:r>
              <w:t>I</w:t>
            </w:r>
          </w:p>
        </w:tc>
        <w:tc>
          <w:tcPr>
            <w:tcW w:w="7393" w:type="dxa"/>
          </w:tcPr>
          <w:p w:rsidR="0012009A" w:rsidRDefault="0012009A" w:rsidP="001200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Loans and advances are classified into:</w:t>
            </w:r>
          </w:p>
          <w:p w:rsidR="0012009A" w:rsidRDefault="0012009A" w:rsidP="0012009A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Capital Advances</w:t>
            </w:r>
          </w:p>
          <w:p w:rsidR="0012009A" w:rsidRDefault="0012009A" w:rsidP="0012009A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Security deposits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12009A" w:rsidRPr="00B21250" w:rsidRDefault="0012009A" w:rsidP="00B21250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Loans and advances to related parties (giving details thereof</w:t>
            </w:r>
            <w:r w:rsidR="00B2125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009A" w:rsidRDefault="0012009A" w:rsidP="0012009A">
            <w:pPr>
              <w:widowControl w:val="0"/>
              <w:numPr>
                <w:ilvl w:val="3"/>
                <w:numId w:val="20"/>
              </w:numPr>
              <w:tabs>
                <w:tab w:val="clear" w:pos="288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loan &amp; advances (specifying nature)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Default="00C0475A"/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335DB1">
            <w:r>
              <w:t>Ii</w:t>
            </w:r>
          </w:p>
        </w:tc>
        <w:tc>
          <w:tcPr>
            <w:tcW w:w="7393" w:type="dxa"/>
          </w:tcPr>
          <w:p w:rsidR="0012009A" w:rsidRDefault="0012009A" w:rsidP="001200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</w:t>
            </w:r>
            <w:r w:rsidR="00AA5116">
              <w:rPr>
                <w:rFonts w:ascii="Calibri" w:hAnsi="Calibri" w:cs="Calibri"/>
              </w:rPr>
              <w:t xml:space="preserve"> Sub-classification of above have</w:t>
            </w:r>
            <w:r>
              <w:rPr>
                <w:rFonts w:ascii="Calibri" w:hAnsi="Calibri" w:cs="Calibri"/>
              </w:rPr>
              <w:t xml:space="preserve"> been made as: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12009A" w:rsidRDefault="0012009A" w:rsidP="0012009A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Secured, considered good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12009A" w:rsidRDefault="0012009A" w:rsidP="0012009A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Unsecured, considered good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12009A" w:rsidP="00B21250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Doubtful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335DB1">
            <w:r>
              <w:t>Iii</w:t>
            </w:r>
          </w:p>
        </w:tc>
        <w:tc>
          <w:tcPr>
            <w:tcW w:w="7393" w:type="dxa"/>
          </w:tcPr>
          <w:p w:rsidR="00C0475A" w:rsidRPr="00B21250" w:rsidRDefault="0012009A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Whether allowance for bad and doubtful loans and advances </w:t>
            </w:r>
            <w:proofErr w:type="gramStart"/>
            <w:r>
              <w:rPr>
                <w:rFonts w:ascii="Calibri" w:hAnsi="Calibri" w:cs="Calibri"/>
              </w:rPr>
              <w:t>are  disclosed</w:t>
            </w:r>
            <w:proofErr w:type="gramEnd"/>
            <w:r>
              <w:rPr>
                <w:rFonts w:ascii="Calibri" w:hAnsi="Calibri" w:cs="Calibri"/>
              </w:rPr>
              <w:t xml:space="preserve"> under relevant heads.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335DB1">
            <w:r>
              <w:t>Iv</w:t>
            </w:r>
          </w:p>
        </w:tc>
        <w:tc>
          <w:tcPr>
            <w:tcW w:w="7393" w:type="dxa"/>
          </w:tcPr>
          <w:p w:rsidR="0012009A" w:rsidRDefault="00335DB1" w:rsidP="001200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Whether </w:t>
            </w:r>
            <w:r w:rsidR="0012009A">
              <w:rPr>
                <w:rFonts w:ascii="Calibri" w:hAnsi="Calibri" w:cs="Calibri"/>
              </w:rPr>
              <w:t>Loans and Advances due from: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12009A" w:rsidRDefault="0012009A" w:rsidP="0012009A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Directors or other officers of the company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12009A" w:rsidRDefault="0012009A" w:rsidP="0012009A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firms in which any director is a partner</w:t>
            </w:r>
          </w:p>
          <w:p w:rsidR="0012009A" w:rsidRDefault="0012009A" w:rsidP="0012009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Pr="00335DB1" w:rsidRDefault="0012009A" w:rsidP="0012009A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360" w:hanging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private companies in which any director is a director or member</w:t>
            </w:r>
          </w:p>
          <w:p w:rsidR="00335DB1" w:rsidRDefault="00335DB1" w:rsidP="00335DB1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C0475A" w:rsidRPr="00B21250" w:rsidRDefault="00335DB1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12009A">
              <w:rPr>
                <w:rFonts w:ascii="Calibri" w:hAnsi="Calibri" w:cs="Calibri"/>
                <w:sz w:val="20"/>
                <w:szCs w:val="20"/>
              </w:rPr>
              <w:t xml:space="preserve"> aggregated</w:t>
            </w:r>
            <w:proofErr w:type="gramEnd"/>
            <w:r w:rsidR="0012009A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disclosed </w:t>
            </w:r>
            <w:r w:rsidR="0012009A">
              <w:rPr>
                <w:rFonts w:ascii="Calibri" w:hAnsi="Calibri" w:cs="Calibri"/>
                <w:sz w:val="20"/>
                <w:szCs w:val="20"/>
              </w:rPr>
              <w:t>separately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/>
        </w:tc>
        <w:tc>
          <w:tcPr>
            <w:tcW w:w="7393" w:type="dxa"/>
          </w:tcPr>
          <w:p w:rsidR="00C0475A" w:rsidRDefault="00C0475A"/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335DB1" w:rsidRPr="002B1668" w:rsidTr="00EC760D">
        <w:tc>
          <w:tcPr>
            <w:tcW w:w="695" w:type="dxa"/>
          </w:tcPr>
          <w:p w:rsidR="00335DB1" w:rsidRDefault="00335DB1">
            <w:r>
              <w:t>(d)</w:t>
            </w:r>
          </w:p>
        </w:tc>
        <w:tc>
          <w:tcPr>
            <w:tcW w:w="7393" w:type="dxa"/>
          </w:tcPr>
          <w:p w:rsidR="00335DB1" w:rsidRDefault="00335DB1" w:rsidP="00CA6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b/>
                <w:bCs/>
              </w:rPr>
              <w:t>Other Non-Current Assets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335DB1">
            <w:r>
              <w:t>I</w:t>
            </w:r>
          </w:p>
        </w:tc>
        <w:tc>
          <w:tcPr>
            <w:tcW w:w="7393" w:type="dxa"/>
          </w:tcPr>
          <w:p w:rsidR="00335DB1" w:rsidRDefault="00335DB1" w:rsidP="00335D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Other non-current assets are classified into:</w:t>
            </w:r>
          </w:p>
          <w:p w:rsidR="00335DB1" w:rsidRDefault="00335DB1" w:rsidP="00335DB1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335DB1" w:rsidRDefault="00335DB1" w:rsidP="00335DB1">
            <w:pPr>
              <w:widowControl w:val="0"/>
              <w:numPr>
                <w:ilvl w:val="2"/>
                <w:numId w:val="24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41" w:lineRule="auto"/>
              <w:ind w:left="1720" w:right="206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Long term trade receivables </w:t>
            </w:r>
          </w:p>
          <w:p w:rsidR="00335DB1" w:rsidRDefault="00335DB1" w:rsidP="00B21250">
            <w:pPr>
              <w:widowControl w:val="0"/>
              <w:numPr>
                <w:ilvl w:val="2"/>
                <w:numId w:val="24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59" w:lineRule="exact"/>
              <w:ind w:left="1720" w:hanging="369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2B1668">
            <w:r>
              <w:t>I</w:t>
            </w:r>
            <w:r w:rsidR="00335DB1">
              <w:t>i</w:t>
            </w:r>
          </w:p>
        </w:tc>
        <w:tc>
          <w:tcPr>
            <w:tcW w:w="7393" w:type="dxa"/>
          </w:tcPr>
          <w:p w:rsidR="00335DB1" w:rsidRDefault="00335DB1" w:rsidP="00335D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Sub-classification of</w:t>
            </w:r>
            <w:r w:rsidR="00AA5116">
              <w:rPr>
                <w:rFonts w:ascii="Calibri" w:hAnsi="Calibri" w:cs="Calibri"/>
              </w:rPr>
              <w:t xml:space="preserve"> Long term trade receivables have</w:t>
            </w:r>
            <w:r>
              <w:rPr>
                <w:rFonts w:ascii="Calibri" w:hAnsi="Calibri" w:cs="Calibri"/>
              </w:rPr>
              <w:t xml:space="preserve"> been made into:</w:t>
            </w:r>
          </w:p>
          <w:p w:rsidR="00335DB1" w:rsidRDefault="00335DB1" w:rsidP="00335DB1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335DB1" w:rsidRDefault="00335DB1" w:rsidP="00335DB1">
            <w:pPr>
              <w:widowControl w:val="0"/>
              <w:numPr>
                <w:ilvl w:val="2"/>
                <w:numId w:val="24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Secured, considered good</w:t>
            </w:r>
          </w:p>
          <w:p w:rsidR="00335DB1" w:rsidRDefault="00335DB1" w:rsidP="00335DB1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Default="00335DB1" w:rsidP="00335DB1">
            <w:pPr>
              <w:widowControl w:val="0"/>
              <w:numPr>
                <w:ilvl w:val="2"/>
                <w:numId w:val="24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Unsecured, considered good</w:t>
            </w:r>
          </w:p>
          <w:p w:rsidR="00335DB1" w:rsidRDefault="00335DB1" w:rsidP="00335DB1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Default="00335DB1" w:rsidP="00B21250">
            <w:pPr>
              <w:widowControl w:val="0"/>
              <w:numPr>
                <w:ilvl w:val="2"/>
                <w:numId w:val="24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59" w:lineRule="exact"/>
              <w:ind w:left="1720" w:hanging="369"/>
              <w:jc w:val="both"/>
            </w:pPr>
            <w:r w:rsidRPr="00B21250">
              <w:rPr>
                <w:rFonts w:ascii="Calibri" w:hAnsi="Calibri" w:cs="Calibri"/>
                <w:sz w:val="20"/>
                <w:szCs w:val="20"/>
              </w:rPr>
              <w:t>Doubtful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335DB1">
            <w:r>
              <w:t>Iii</w:t>
            </w:r>
          </w:p>
        </w:tc>
        <w:tc>
          <w:tcPr>
            <w:tcW w:w="7393" w:type="dxa"/>
          </w:tcPr>
          <w:p w:rsidR="00335DB1" w:rsidRDefault="00335DB1" w:rsidP="00AA5116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</w:pPr>
            <w:r>
              <w:rPr>
                <w:rFonts w:ascii="Calibri" w:hAnsi="Calibri" w:cs="Calibri"/>
              </w:rPr>
              <w:t>Whether allowance for bad and doubtful loans and advances are disclosed under relevant heads.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335DB1">
            <w:r>
              <w:t>Iv</w:t>
            </w:r>
          </w:p>
        </w:tc>
        <w:tc>
          <w:tcPr>
            <w:tcW w:w="7393" w:type="dxa"/>
          </w:tcPr>
          <w:p w:rsidR="00335DB1" w:rsidRDefault="00335DB1" w:rsidP="005860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Loans and Advances due from:</w:t>
            </w:r>
          </w:p>
          <w:p w:rsidR="00335DB1" w:rsidRDefault="00335DB1" w:rsidP="0058604E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335DB1" w:rsidRDefault="00335DB1" w:rsidP="0058604E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Directors or other officers of the company</w:t>
            </w:r>
          </w:p>
          <w:p w:rsidR="00335DB1" w:rsidRDefault="00335DB1" w:rsidP="0058604E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Default="00335DB1" w:rsidP="0058604E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firms in which any director is a partner</w:t>
            </w:r>
          </w:p>
          <w:p w:rsidR="00335DB1" w:rsidRDefault="00335DB1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Pr="00335DB1" w:rsidRDefault="00335DB1" w:rsidP="0058604E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360" w:hanging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private companies in which any director is a director or member</w:t>
            </w:r>
          </w:p>
          <w:p w:rsidR="00335DB1" w:rsidRDefault="00335DB1" w:rsidP="0058604E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335DB1" w:rsidRPr="00B21250" w:rsidRDefault="00335DB1" w:rsidP="00B2125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are  aggregated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disclosed separately?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335DB1"/>
        </w:tc>
        <w:tc>
          <w:tcPr>
            <w:tcW w:w="7393" w:type="dxa"/>
          </w:tcPr>
          <w:p w:rsidR="00335DB1" w:rsidRDefault="00335DB1"/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(G)</w:t>
            </w:r>
          </w:p>
        </w:tc>
        <w:tc>
          <w:tcPr>
            <w:tcW w:w="7393" w:type="dxa"/>
          </w:tcPr>
          <w:p w:rsidR="00335DB1" w:rsidRDefault="00335DB1">
            <w:r>
              <w:rPr>
                <w:rFonts w:ascii="Calibri" w:hAnsi="Calibri" w:cs="Calibri"/>
                <w:b/>
                <w:bCs/>
                <w:u w:val="single"/>
              </w:rPr>
              <w:t>CURRENT ASSETS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(a)</w:t>
            </w:r>
          </w:p>
        </w:tc>
        <w:tc>
          <w:tcPr>
            <w:tcW w:w="7393" w:type="dxa"/>
          </w:tcPr>
          <w:p w:rsidR="00335DB1" w:rsidRPr="00CA6AFA" w:rsidRDefault="0058604E" w:rsidP="00CA6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Current Investments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I</w:t>
            </w:r>
          </w:p>
        </w:tc>
        <w:tc>
          <w:tcPr>
            <w:tcW w:w="7393" w:type="dxa"/>
          </w:tcPr>
          <w:p w:rsidR="0058604E" w:rsidRDefault="0058604E" w:rsidP="005860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Current Investments are classified into:</w:t>
            </w: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Equity instruments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Preference shares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Government or trust securities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Debentures or Bonds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Mutual funds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Investments in Partnership firms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Pr="00B21250" w:rsidRDefault="0058604E" w:rsidP="00B21250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Ii</w:t>
            </w:r>
          </w:p>
        </w:tc>
        <w:tc>
          <w:tcPr>
            <w:tcW w:w="7393" w:type="dxa"/>
          </w:tcPr>
          <w:p w:rsidR="0058604E" w:rsidRDefault="0058604E" w:rsidP="0058604E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case of investments in bodies corporate ,whether foll</w:t>
            </w:r>
            <w:r w:rsidR="00AA5116">
              <w:rPr>
                <w:rFonts w:ascii="Calibri" w:hAnsi="Calibri" w:cs="Calibri"/>
              </w:rPr>
              <w:t>owing additional disclosures have</w:t>
            </w:r>
            <w:r>
              <w:rPr>
                <w:rFonts w:ascii="Calibri" w:hAnsi="Calibri" w:cs="Calibri"/>
              </w:rPr>
              <w:t xml:space="preserve"> been  made under each classification:</w:t>
            </w: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41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Names of the body corporate (indicating whether they are associates, joint ventures, subsidiaries or controlled special purpose entities)</w:t>
            </w: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Nature and extent of the investments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Pr="00B21250" w:rsidRDefault="0058604E" w:rsidP="00B21250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Partly paid investments to be separately shown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Iii</w:t>
            </w:r>
          </w:p>
        </w:tc>
        <w:tc>
          <w:tcPr>
            <w:tcW w:w="7393" w:type="dxa"/>
          </w:tcPr>
          <w:p w:rsidR="0058604E" w:rsidRDefault="0058604E" w:rsidP="00AA5116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case of investments in partnership firms, Whether the following additional disclosures ha</w:t>
            </w:r>
            <w:r w:rsidR="00AA5116">
              <w:rPr>
                <w:rFonts w:ascii="Calibri" w:hAnsi="Calibri" w:cs="Calibri"/>
              </w:rPr>
              <w:t>ve</w:t>
            </w:r>
            <w:r>
              <w:rPr>
                <w:rFonts w:ascii="Calibri" w:hAnsi="Calibri" w:cs="Calibri"/>
              </w:rPr>
              <w:t xml:space="preserve"> been made under each classification:</w:t>
            </w: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Names of the firms and their respective partners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Pr="00B21250" w:rsidRDefault="0058604E" w:rsidP="00B21250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capital and the profit sharing ratio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Iv</w:t>
            </w:r>
          </w:p>
        </w:tc>
        <w:tc>
          <w:tcPr>
            <w:tcW w:w="7393" w:type="dxa"/>
          </w:tcPr>
          <w:p w:rsidR="00335DB1" w:rsidRDefault="0058604E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Whether the basis of valuati</w:t>
            </w:r>
            <w:r w:rsidR="00AA5116">
              <w:rPr>
                <w:rFonts w:ascii="Calibri" w:hAnsi="Calibri" w:cs="Calibri"/>
              </w:rPr>
              <w:t>on of individual investments have</w:t>
            </w:r>
            <w:r>
              <w:rPr>
                <w:rFonts w:ascii="Calibri" w:hAnsi="Calibri" w:cs="Calibri"/>
              </w:rPr>
              <w:t xml:space="preserve"> been </w:t>
            </w:r>
            <w:proofErr w:type="gramStart"/>
            <w:r>
              <w:rPr>
                <w:rFonts w:ascii="Calibri" w:hAnsi="Calibri" w:cs="Calibri"/>
              </w:rPr>
              <w:t>disclosed .</w:t>
            </w:r>
            <w:proofErr w:type="gramEnd"/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t>V</w:t>
            </w:r>
          </w:p>
        </w:tc>
        <w:tc>
          <w:tcPr>
            <w:tcW w:w="7393" w:type="dxa"/>
          </w:tcPr>
          <w:p w:rsidR="0058604E" w:rsidRDefault="0058604E" w:rsidP="00AA51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following  additional disclosure ha</w:t>
            </w:r>
            <w:r w:rsidR="00AA5116">
              <w:rPr>
                <w:rFonts w:ascii="Calibri" w:hAnsi="Calibri" w:cs="Calibri"/>
              </w:rPr>
              <w:t>ve</w:t>
            </w:r>
            <w:r>
              <w:rPr>
                <w:rFonts w:ascii="Calibri" w:hAnsi="Calibri" w:cs="Calibri"/>
              </w:rPr>
              <w:t xml:space="preserve"> been made;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book value of Quoted Investments and market value thereof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amount of unquoted investments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335DB1" w:rsidRPr="00B21250" w:rsidRDefault="0058604E" w:rsidP="00B21250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Aggregate provision for diminution in value of investments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335DB1"/>
        </w:tc>
        <w:tc>
          <w:tcPr>
            <w:tcW w:w="7393" w:type="dxa"/>
          </w:tcPr>
          <w:p w:rsidR="00335DB1" w:rsidRDefault="00335DB1"/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335DB1" w:rsidRPr="002B1668" w:rsidTr="00EC760D">
        <w:tc>
          <w:tcPr>
            <w:tcW w:w="695" w:type="dxa"/>
          </w:tcPr>
          <w:p w:rsidR="00335DB1" w:rsidRDefault="0058604E">
            <w:r>
              <w:lastRenderedPageBreak/>
              <w:t>(b)</w:t>
            </w:r>
          </w:p>
        </w:tc>
        <w:tc>
          <w:tcPr>
            <w:tcW w:w="7393" w:type="dxa"/>
          </w:tcPr>
          <w:p w:rsidR="00335DB1" w:rsidRDefault="0058604E" w:rsidP="00CA6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b/>
                <w:bCs/>
              </w:rPr>
              <w:t>Inventories</w:t>
            </w:r>
          </w:p>
        </w:tc>
        <w:tc>
          <w:tcPr>
            <w:tcW w:w="732" w:type="dxa"/>
          </w:tcPr>
          <w:p w:rsidR="00335DB1" w:rsidRDefault="00335DB1"/>
        </w:tc>
        <w:tc>
          <w:tcPr>
            <w:tcW w:w="540" w:type="dxa"/>
          </w:tcPr>
          <w:p w:rsidR="00335DB1" w:rsidRDefault="00335DB1"/>
        </w:tc>
        <w:tc>
          <w:tcPr>
            <w:tcW w:w="720" w:type="dxa"/>
          </w:tcPr>
          <w:p w:rsidR="00335DB1" w:rsidRDefault="00335DB1"/>
        </w:tc>
      </w:tr>
      <w:tr w:rsidR="00C0475A" w:rsidRPr="002B1668" w:rsidTr="00EC760D">
        <w:tc>
          <w:tcPr>
            <w:tcW w:w="695" w:type="dxa"/>
          </w:tcPr>
          <w:p w:rsidR="00C0475A" w:rsidRDefault="0058604E">
            <w:r>
              <w:t>I</w:t>
            </w:r>
          </w:p>
        </w:tc>
        <w:tc>
          <w:tcPr>
            <w:tcW w:w="7393" w:type="dxa"/>
          </w:tcPr>
          <w:p w:rsidR="0058604E" w:rsidRDefault="0058604E" w:rsidP="005860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 Inventories are classified into:</w:t>
            </w: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Raw materials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in progress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Finished goods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Stock in trade (in respect of goods acquired for trading )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Stores and spares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8604E" w:rsidRDefault="0058604E" w:rsidP="0058604E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Loose tools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C0475A" w:rsidRPr="00B21250" w:rsidRDefault="0058604E" w:rsidP="00B21250">
            <w:pPr>
              <w:widowControl w:val="0"/>
              <w:numPr>
                <w:ilvl w:val="3"/>
                <w:numId w:val="25"/>
              </w:numPr>
              <w:tabs>
                <w:tab w:val="clear" w:pos="288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58604E">
            <w:r>
              <w:t>Ii</w:t>
            </w:r>
          </w:p>
        </w:tc>
        <w:tc>
          <w:tcPr>
            <w:tcW w:w="7393" w:type="dxa"/>
          </w:tcPr>
          <w:p w:rsidR="00C0475A" w:rsidRDefault="0058604E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Whether goods-in-transit has been disclosed under relevant sub-head.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58604E">
            <w:r>
              <w:t>Iii</w:t>
            </w:r>
          </w:p>
        </w:tc>
        <w:tc>
          <w:tcPr>
            <w:tcW w:w="7393" w:type="dxa"/>
          </w:tcPr>
          <w:p w:rsidR="00C0475A" w:rsidRPr="00B21250" w:rsidRDefault="0058604E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mode of Valuation are  stated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C0475A"/>
        </w:tc>
        <w:tc>
          <w:tcPr>
            <w:tcW w:w="7393" w:type="dxa"/>
          </w:tcPr>
          <w:p w:rsidR="00C0475A" w:rsidRDefault="00C0475A"/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58604E">
            <w:r>
              <w:t>©</w:t>
            </w:r>
          </w:p>
        </w:tc>
        <w:tc>
          <w:tcPr>
            <w:tcW w:w="7393" w:type="dxa"/>
          </w:tcPr>
          <w:p w:rsidR="0058604E" w:rsidRDefault="0058604E" w:rsidP="005860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Trade Receivables</w:t>
            </w:r>
          </w:p>
          <w:p w:rsidR="0058604E" w:rsidRDefault="0058604E" w:rsidP="0058604E">
            <w:pPr>
              <w:widowControl w:val="0"/>
              <w:autoSpaceDE w:val="0"/>
              <w:autoSpaceDN w:val="0"/>
              <w:adjustRightInd w:val="0"/>
              <w:spacing w:line="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5A" w:rsidRDefault="00C0475A"/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C0475A" w:rsidRPr="002B1668" w:rsidTr="00EC760D">
        <w:tc>
          <w:tcPr>
            <w:tcW w:w="695" w:type="dxa"/>
          </w:tcPr>
          <w:p w:rsidR="00C0475A" w:rsidRDefault="00813F6C">
            <w:r>
              <w:t>I</w:t>
            </w:r>
          </w:p>
        </w:tc>
        <w:tc>
          <w:tcPr>
            <w:tcW w:w="7393" w:type="dxa"/>
          </w:tcPr>
          <w:p w:rsidR="00C0475A" w:rsidRDefault="00813F6C" w:rsidP="00CA6A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Whether aggregate   amount   of   outstanding   trade   recei</w:t>
            </w:r>
            <w:r w:rsidR="00AA5116">
              <w:rPr>
                <w:rFonts w:ascii="Calibri" w:hAnsi="Calibri" w:cs="Calibri"/>
              </w:rPr>
              <w:t xml:space="preserve">vables   exceeding 6 months have </w:t>
            </w:r>
            <w:proofErr w:type="gramStart"/>
            <w:r>
              <w:rPr>
                <w:rFonts w:ascii="Calibri" w:hAnsi="Calibri" w:cs="Calibri"/>
              </w:rPr>
              <w:t>been  shown</w:t>
            </w:r>
            <w:proofErr w:type="gramEnd"/>
            <w:r>
              <w:rPr>
                <w:rFonts w:ascii="Calibri" w:hAnsi="Calibri" w:cs="Calibri"/>
              </w:rPr>
              <w:t xml:space="preserve"> separately</w:t>
            </w:r>
            <w:r w:rsidR="00CA6AFA">
              <w:rPr>
                <w:rFonts w:ascii="Calibri" w:hAnsi="Calibri" w:cs="Calibri"/>
              </w:rPr>
              <w:t>.</w:t>
            </w:r>
          </w:p>
        </w:tc>
        <w:tc>
          <w:tcPr>
            <w:tcW w:w="732" w:type="dxa"/>
          </w:tcPr>
          <w:p w:rsidR="00C0475A" w:rsidRDefault="00C0475A"/>
        </w:tc>
        <w:tc>
          <w:tcPr>
            <w:tcW w:w="540" w:type="dxa"/>
          </w:tcPr>
          <w:p w:rsidR="00C0475A" w:rsidRDefault="00C0475A"/>
        </w:tc>
        <w:tc>
          <w:tcPr>
            <w:tcW w:w="720" w:type="dxa"/>
          </w:tcPr>
          <w:p w:rsidR="00C0475A" w:rsidRDefault="00C0475A"/>
        </w:tc>
      </w:tr>
      <w:tr w:rsidR="00813F6C" w:rsidRPr="002B1668" w:rsidTr="00EC760D">
        <w:tc>
          <w:tcPr>
            <w:tcW w:w="695" w:type="dxa"/>
          </w:tcPr>
          <w:p w:rsidR="00813F6C" w:rsidRDefault="00813F6C">
            <w:r>
              <w:t>Ii</w:t>
            </w:r>
          </w:p>
        </w:tc>
        <w:tc>
          <w:tcPr>
            <w:tcW w:w="7393" w:type="dxa"/>
          </w:tcPr>
          <w:p w:rsidR="00813F6C" w:rsidRDefault="00813F6C" w:rsidP="00AA51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Sub-classification of Trade Receivables ha</w:t>
            </w:r>
            <w:r w:rsidR="00AA5116">
              <w:rPr>
                <w:rFonts w:ascii="Calibri" w:hAnsi="Calibri" w:cs="Calibri"/>
              </w:rPr>
              <w:t>ve</w:t>
            </w:r>
            <w:r>
              <w:rPr>
                <w:rFonts w:ascii="Calibri" w:hAnsi="Calibri" w:cs="Calibri"/>
              </w:rPr>
              <w:t xml:space="preserve"> been made into: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813F6C">
            <w:pPr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2100"/>
              </w:tabs>
              <w:overflowPunct w:val="0"/>
              <w:autoSpaceDE w:val="0"/>
              <w:autoSpaceDN w:val="0"/>
              <w:adjustRightInd w:val="0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Secured, considered good</w:t>
            </w:r>
          </w:p>
          <w:p w:rsidR="00813F6C" w:rsidRPr="00813F6C" w:rsidRDefault="00813F6C" w:rsidP="00813F6C">
            <w:pPr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Unsecured, considered good</w:t>
            </w:r>
          </w:p>
          <w:p w:rsidR="00813F6C" w:rsidRPr="00CA6AFA" w:rsidRDefault="00813F6C" w:rsidP="00CA6AFA">
            <w:pPr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21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210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Doubtful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>
            <w:r>
              <w:t>Iii</w:t>
            </w:r>
          </w:p>
        </w:tc>
        <w:tc>
          <w:tcPr>
            <w:tcW w:w="7393" w:type="dxa"/>
          </w:tcPr>
          <w:p w:rsidR="00813F6C" w:rsidRDefault="00813F6C" w:rsidP="00CA6AFA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</w:pPr>
            <w:r>
              <w:rPr>
                <w:rFonts w:ascii="Calibri" w:hAnsi="Calibri" w:cs="Calibri"/>
              </w:rPr>
              <w:t>Whether allowance for bad and doubtful loans and advances are  disclosed under relevant heads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2B1668">
            <w:r>
              <w:t>I</w:t>
            </w:r>
            <w:r w:rsidR="00813F6C">
              <w:t>v</w:t>
            </w:r>
          </w:p>
        </w:tc>
        <w:tc>
          <w:tcPr>
            <w:tcW w:w="7393" w:type="dxa"/>
          </w:tcPr>
          <w:p w:rsidR="00813F6C" w:rsidRDefault="00813F6C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Loans and Advances due from: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Directors or other officers of the company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firms in which any director is a partner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Pr="00335DB1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360" w:hanging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private companies in which any director is a director or member</w:t>
            </w:r>
          </w:p>
          <w:p w:rsidR="00813F6C" w:rsidRDefault="00813F6C" w:rsidP="0068639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813F6C" w:rsidRDefault="00813F6C" w:rsidP="00CA6AFA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are  aggregated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disclosed separately?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/>
        </w:tc>
        <w:tc>
          <w:tcPr>
            <w:tcW w:w="7393" w:type="dxa"/>
          </w:tcPr>
          <w:p w:rsidR="00813F6C" w:rsidRDefault="00813F6C"/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>
            <w:r>
              <w:t>(d)</w:t>
            </w:r>
          </w:p>
        </w:tc>
        <w:tc>
          <w:tcPr>
            <w:tcW w:w="7393" w:type="dxa"/>
          </w:tcPr>
          <w:p w:rsidR="00813F6C" w:rsidRDefault="00813F6C" w:rsidP="00813F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Cash and Cash Equivalents</w:t>
            </w:r>
          </w:p>
          <w:p w:rsidR="00813F6C" w:rsidRDefault="00813F6C"/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2B1668">
            <w:r>
              <w:t>I</w:t>
            </w:r>
          </w:p>
        </w:tc>
        <w:tc>
          <w:tcPr>
            <w:tcW w:w="7393" w:type="dxa"/>
          </w:tcPr>
          <w:p w:rsidR="00813F6C" w:rsidRDefault="00813F6C" w:rsidP="00813F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Cash and Cash Equivalents are classified into: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Balances with Bank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Cheques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Drafts on hand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Cash on hand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Pr="00CA6AFA" w:rsidRDefault="00813F6C" w:rsidP="00CA6AFA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(specifying nature)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>
            <w:r>
              <w:t>Ii</w:t>
            </w:r>
          </w:p>
        </w:tc>
        <w:tc>
          <w:tcPr>
            <w:tcW w:w="7393" w:type="dxa"/>
          </w:tcPr>
          <w:p w:rsidR="00813F6C" w:rsidRDefault="00AA5116" w:rsidP="00813F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the following have</w:t>
            </w:r>
            <w:r w:rsidR="00813F6C">
              <w:rPr>
                <w:rFonts w:ascii="Calibri" w:hAnsi="Calibri" w:cs="Calibri"/>
              </w:rPr>
              <w:t xml:space="preserve">  been shown separately :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Earmarked balances with bank.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Balances with bank held as margin money or security against borrowing, guarantees and other commitments.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Repatriation restrictions, if any, in respect of cash and bank balances.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Pr="00CA6AFA" w:rsidRDefault="00813F6C" w:rsidP="00CA6AFA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Bank deposits with more than 12 months maturity.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/>
        </w:tc>
        <w:tc>
          <w:tcPr>
            <w:tcW w:w="7393" w:type="dxa"/>
          </w:tcPr>
          <w:p w:rsidR="00813F6C" w:rsidRDefault="00813F6C"/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>
            <w:r>
              <w:t>(e)</w:t>
            </w:r>
          </w:p>
        </w:tc>
        <w:tc>
          <w:tcPr>
            <w:tcW w:w="7393" w:type="dxa"/>
          </w:tcPr>
          <w:p w:rsidR="00813F6C" w:rsidRDefault="00813F6C" w:rsidP="00813F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Short Term Loans And Advances</w:t>
            </w:r>
          </w:p>
          <w:p w:rsidR="00813F6C" w:rsidRDefault="00813F6C"/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2B1668">
            <w:r>
              <w:t>I</w:t>
            </w:r>
          </w:p>
        </w:tc>
        <w:tc>
          <w:tcPr>
            <w:tcW w:w="7393" w:type="dxa"/>
          </w:tcPr>
          <w:p w:rsidR="00813F6C" w:rsidRDefault="00B21250" w:rsidP="00B212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Whether </w:t>
            </w:r>
            <w:r w:rsidR="00813F6C">
              <w:rPr>
                <w:rFonts w:ascii="Calibri" w:hAnsi="Calibri" w:cs="Calibri"/>
              </w:rPr>
              <w:t>Loans and Advances</w:t>
            </w:r>
            <w:r>
              <w:rPr>
                <w:rFonts w:ascii="Calibri" w:hAnsi="Calibri" w:cs="Calibri"/>
              </w:rPr>
              <w:t xml:space="preserve"> are classified into</w:t>
            </w:r>
            <w:r w:rsidR="00813F6C">
              <w:rPr>
                <w:rFonts w:ascii="Calibri" w:hAnsi="Calibri" w:cs="Calibri"/>
              </w:rPr>
              <w:t xml:space="preserve"> :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813F6C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Loans and Advances to Related parties (giving details thereof)</w:t>
            </w:r>
          </w:p>
          <w:p w:rsidR="00813F6C" w:rsidRDefault="00813F6C" w:rsidP="00813F6C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Pr="00CA6AFA" w:rsidRDefault="00813F6C" w:rsidP="00CA6AFA">
            <w:pPr>
              <w:widowControl w:val="0"/>
              <w:numPr>
                <w:ilvl w:val="2"/>
                <w:numId w:val="29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Others (specifying nature)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2B1668">
            <w:r>
              <w:lastRenderedPageBreak/>
              <w:t>I</w:t>
            </w:r>
            <w:r w:rsidR="00B21250">
              <w:t>i</w:t>
            </w:r>
          </w:p>
        </w:tc>
        <w:tc>
          <w:tcPr>
            <w:tcW w:w="7393" w:type="dxa"/>
          </w:tcPr>
          <w:p w:rsidR="00813F6C" w:rsidRDefault="00813F6C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</w:t>
            </w:r>
            <w:r w:rsidR="00AA5116">
              <w:rPr>
                <w:rFonts w:ascii="Calibri" w:hAnsi="Calibri" w:cs="Calibri"/>
              </w:rPr>
              <w:t xml:space="preserve"> Sub-classification of above have</w:t>
            </w:r>
            <w:r>
              <w:rPr>
                <w:rFonts w:ascii="Calibri" w:hAnsi="Calibri" w:cs="Calibri"/>
              </w:rPr>
              <w:t xml:space="preserve"> been made as: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Secured, considered good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Unsecured, considered good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Pr="00CA6AFA" w:rsidRDefault="00813F6C" w:rsidP="00CA6AFA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Doubtful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2B1668">
            <w:r>
              <w:t>I</w:t>
            </w:r>
            <w:r w:rsidR="00B21250">
              <w:t>ii</w:t>
            </w:r>
          </w:p>
        </w:tc>
        <w:tc>
          <w:tcPr>
            <w:tcW w:w="7393" w:type="dxa"/>
          </w:tcPr>
          <w:p w:rsidR="00813F6C" w:rsidRPr="00CA6AFA" w:rsidRDefault="00813F6C" w:rsidP="00AA5116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allowance for bad and doubtful loans and advances are disclosed under relevant heads.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2B1668">
            <w:r>
              <w:t>I</w:t>
            </w:r>
            <w:r w:rsidR="00B21250">
              <w:t>v</w:t>
            </w:r>
          </w:p>
        </w:tc>
        <w:tc>
          <w:tcPr>
            <w:tcW w:w="7393" w:type="dxa"/>
          </w:tcPr>
          <w:p w:rsidR="00813F6C" w:rsidRDefault="00813F6C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Whether Loans and Advances due from: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813F6C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Directors or other officers of the company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firms in which any director is a partner</w:t>
            </w:r>
          </w:p>
          <w:p w:rsidR="00813F6C" w:rsidRDefault="00813F6C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813F6C" w:rsidRPr="00335DB1" w:rsidRDefault="00813F6C" w:rsidP="00686397">
            <w:pPr>
              <w:widowControl w:val="0"/>
              <w:numPr>
                <w:ilvl w:val="2"/>
                <w:numId w:val="23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360" w:hanging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Amounts due by private companies in which any director is a director or member</w:t>
            </w:r>
          </w:p>
          <w:p w:rsidR="00813F6C" w:rsidRDefault="00813F6C" w:rsidP="0068639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813F6C" w:rsidRDefault="00813F6C" w:rsidP="00CA6AFA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are  aggregated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disclosed separately?</w:t>
            </w:r>
          </w:p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813F6C" w:rsidRPr="002B1668" w:rsidTr="00EC760D">
        <w:tc>
          <w:tcPr>
            <w:tcW w:w="695" w:type="dxa"/>
          </w:tcPr>
          <w:p w:rsidR="00813F6C" w:rsidRDefault="00813F6C"/>
        </w:tc>
        <w:tc>
          <w:tcPr>
            <w:tcW w:w="7393" w:type="dxa"/>
          </w:tcPr>
          <w:p w:rsidR="00813F6C" w:rsidRDefault="00813F6C"/>
        </w:tc>
        <w:tc>
          <w:tcPr>
            <w:tcW w:w="732" w:type="dxa"/>
          </w:tcPr>
          <w:p w:rsidR="00813F6C" w:rsidRDefault="00813F6C"/>
        </w:tc>
        <w:tc>
          <w:tcPr>
            <w:tcW w:w="540" w:type="dxa"/>
          </w:tcPr>
          <w:p w:rsidR="00813F6C" w:rsidRDefault="00813F6C"/>
        </w:tc>
        <w:tc>
          <w:tcPr>
            <w:tcW w:w="720" w:type="dxa"/>
          </w:tcPr>
          <w:p w:rsidR="00813F6C" w:rsidRDefault="00813F6C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(H)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CONTINGENT LIABILITIES AND COMMITMENTS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Default="00AA5116" w:rsidP="006863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Whether the following have</w:t>
            </w:r>
            <w:r w:rsidR="00686397">
              <w:rPr>
                <w:rFonts w:ascii="Calibri" w:hAnsi="Calibri" w:cs="Calibri"/>
              </w:rPr>
              <w:t xml:space="preserve"> been disclosed to the extent not provided for: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I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Classification of Contingent liabilities: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ind w:left="1660" w:hanging="3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Claims against the company not acknowledged as debts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60" w:hanging="3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Guarantees.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660" w:hanging="364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money for which the company is contingently liable.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Arial" w:hAnsi="Arial" w:cs="Arial"/>
              </w:rPr>
            </w:pP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Ii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Classification of Commitments into: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ind w:left="1660" w:hanging="3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Estimated amount of contracts remaining to be executed on capital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660" w:hanging="3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account and not provided for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60" w:hanging="3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Uncalled liability on shares and other investments partly paid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166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660" w:hanging="3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commitments(specifying nature)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(I)</w:t>
            </w:r>
          </w:p>
        </w:tc>
        <w:tc>
          <w:tcPr>
            <w:tcW w:w="7393" w:type="dxa"/>
          </w:tcPr>
          <w:p w:rsidR="00686397" w:rsidRDefault="00686397">
            <w:r>
              <w:rPr>
                <w:rFonts w:ascii="Cambria" w:hAnsi="Cambria" w:cs="Cambria"/>
                <w:b/>
                <w:bCs/>
                <w:color w:val="365E91"/>
                <w:sz w:val="28"/>
                <w:szCs w:val="28"/>
                <w:u w:val="single"/>
              </w:rPr>
              <w:t>PROFIT AND LOSS ACCOUNT</w:t>
            </w:r>
          </w:p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(a)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REVENUE FROM OPERATIONS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I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In respect of Company </w:t>
            </w:r>
            <w:r>
              <w:rPr>
                <w:rFonts w:ascii="Calibri" w:hAnsi="Calibri" w:cs="Calibri"/>
                <w:b/>
                <w:bCs/>
              </w:rPr>
              <w:t>other than Finance Company</w:t>
            </w:r>
            <w:r>
              <w:rPr>
                <w:rFonts w:ascii="Calibri" w:hAnsi="Calibri" w:cs="Calibri"/>
              </w:rPr>
              <w:t>, whether revenue has been disclosed separately in notes from: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3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 of products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3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 of services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3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Operating revenues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Pr="006036EB" w:rsidRDefault="00686397" w:rsidP="00B9779A">
            <w:pPr>
              <w:widowControl w:val="0"/>
              <w:numPr>
                <w:ilvl w:val="2"/>
                <w:numId w:val="33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Less: Excise Duty</w:t>
            </w:r>
          </w:p>
          <w:p w:rsidR="006036EB" w:rsidRDefault="006036EB" w:rsidP="006036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6EB" w:rsidRPr="00B9779A" w:rsidRDefault="006036EB" w:rsidP="006036E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1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t>Ii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respect of </w:t>
            </w:r>
            <w:r>
              <w:rPr>
                <w:rFonts w:ascii="Calibri" w:hAnsi="Calibri" w:cs="Calibri"/>
                <w:b/>
                <w:bCs/>
              </w:rPr>
              <w:t>Finance Company</w:t>
            </w:r>
            <w:r>
              <w:rPr>
                <w:rFonts w:ascii="Calibri" w:hAnsi="Calibri" w:cs="Calibri"/>
              </w:rPr>
              <w:t>, whether revenue has been disclosed separately in notes from: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3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3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Financial Services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>
            <w:r>
              <w:lastRenderedPageBreak/>
              <w:t>(b)</w:t>
            </w:r>
          </w:p>
        </w:tc>
        <w:tc>
          <w:tcPr>
            <w:tcW w:w="7393" w:type="dxa"/>
          </w:tcPr>
          <w:p w:rsidR="00686397" w:rsidRDefault="00686397" w:rsidP="00B977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OTHER INCOME</w:t>
            </w:r>
          </w:p>
          <w:p w:rsidR="00B9779A" w:rsidRPr="00B9779A" w:rsidRDefault="00B9779A" w:rsidP="00B977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5D7D2D">
            <w:r>
              <w:t>I</w:t>
            </w:r>
          </w:p>
        </w:tc>
        <w:tc>
          <w:tcPr>
            <w:tcW w:w="7393" w:type="dxa"/>
          </w:tcPr>
          <w:p w:rsidR="00686397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Whether </w:t>
            </w:r>
            <w:r w:rsidR="00686397">
              <w:rPr>
                <w:rFonts w:ascii="Calibri" w:hAnsi="Calibri" w:cs="Calibri"/>
              </w:rPr>
              <w:t xml:space="preserve"> Other Income</w:t>
            </w:r>
            <w:r>
              <w:rPr>
                <w:rFonts w:ascii="Calibri" w:hAnsi="Calibri" w:cs="Calibri"/>
              </w:rPr>
              <w:t xml:space="preserve"> has been classified </w:t>
            </w:r>
            <w:r w:rsidR="00686397">
              <w:rPr>
                <w:rFonts w:ascii="Calibri" w:hAnsi="Calibri" w:cs="Calibri"/>
              </w:rPr>
              <w:t xml:space="preserve"> into: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Calibri" w:hAnsi="Calibri" w:cs="Calibri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4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 Income (except for a finance company)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4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Dividend Income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 w:rsidP="00686397">
            <w:pPr>
              <w:widowControl w:val="0"/>
              <w:numPr>
                <w:ilvl w:val="2"/>
                <w:numId w:val="34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Net gain / loss on sale of Investments</w:t>
            </w:r>
          </w:p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Pr="00B9779A" w:rsidRDefault="00686397" w:rsidP="00B9779A">
            <w:pPr>
              <w:widowControl w:val="0"/>
              <w:numPr>
                <w:ilvl w:val="2"/>
                <w:numId w:val="34"/>
              </w:numPr>
              <w:tabs>
                <w:tab w:val="clear" w:pos="2160"/>
                <w:tab w:val="num" w:pos="14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4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Non-Operating Income (net of expenses directly attributable)</w:t>
            </w:r>
          </w:p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5D7D2D">
            <w:r>
              <w:t>©</w:t>
            </w:r>
          </w:p>
        </w:tc>
        <w:tc>
          <w:tcPr>
            <w:tcW w:w="7393" w:type="dxa"/>
          </w:tcPr>
          <w:p w:rsidR="00686397" w:rsidRDefault="00686397" w:rsidP="00686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EXPENSES: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5D7D2D" w:rsidRPr="002B1668" w:rsidTr="00EC760D">
        <w:tc>
          <w:tcPr>
            <w:tcW w:w="695" w:type="dxa"/>
          </w:tcPr>
          <w:p w:rsidR="005D7D2D" w:rsidRDefault="00F77CED">
            <w:r>
              <w:t>I</w:t>
            </w:r>
          </w:p>
        </w:tc>
        <w:tc>
          <w:tcPr>
            <w:tcW w:w="7393" w:type="dxa"/>
          </w:tcPr>
          <w:p w:rsidR="005D7D2D" w:rsidRPr="00AA5116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Cost of Materials Consumed</w:t>
            </w:r>
          </w:p>
        </w:tc>
        <w:tc>
          <w:tcPr>
            <w:tcW w:w="732" w:type="dxa"/>
          </w:tcPr>
          <w:p w:rsidR="005D7D2D" w:rsidRDefault="005D7D2D"/>
        </w:tc>
        <w:tc>
          <w:tcPr>
            <w:tcW w:w="540" w:type="dxa"/>
          </w:tcPr>
          <w:p w:rsidR="005D7D2D" w:rsidRDefault="005D7D2D"/>
        </w:tc>
        <w:tc>
          <w:tcPr>
            <w:tcW w:w="720" w:type="dxa"/>
          </w:tcPr>
          <w:p w:rsidR="005D7D2D" w:rsidRDefault="005D7D2D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686397" w:rsidRPr="002E70A5" w:rsidRDefault="00686397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>In case of Manufacturing Companies:</w:t>
            </w:r>
          </w:p>
          <w:p w:rsidR="00686397" w:rsidRPr="002E70A5" w:rsidRDefault="00686397" w:rsidP="00686397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Raw Materials under broad heads</w:t>
            </w:r>
          </w:p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Pr="002E70A5" w:rsidRDefault="00686397" w:rsidP="005D7D2D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1360" w:right="4320" w:hanging="9"/>
              <w:jc w:val="both"/>
            </w:pPr>
            <w:r w:rsidRPr="002E70A5">
              <w:rPr>
                <w:rFonts w:ascii="Calibri" w:hAnsi="Calibri" w:cs="Calibri"/>
                <w:sz w:val="19"/>
                <w:szCs w:val="19"/>
              </w:rPr>
              <w:t xml:space="preserve">Goods </w:t>
            </w:r>
          </w:p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5D7D2D" w:rsidRPr="002B1668" w:rsidTr="00EC760D">
        <w:tc>
          <w:tcPr>
            <w:tcW w:w="695" w:type="dxa"/>
          </w:tcPr>
          <w:p w:rsidR="005D7D2D" w:rsidRDefault="00F77CED">
            <w:r>
              <w:t>Ii</w:t>
            </w:r>
          </w:p>
        </w:tc>
        <w:tc>
          <w:tcPr>
            <w:tcW w:w="7393" w:type="dxa"/>
          </w:tcPr>
          <w:p w:rsidR="005D7D2D" w:rsidRPr="00AA5116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Purchases of Stock-in-trade</w:t>
            </w:r>
          </w:p>
          <w:p w:rsidR="005D7D2D" w:rsidRPr="002E70A5" w:rsidRDefault="005D7D2D" w:rsidP="00686397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5D7D2D" w:rsidRDefault="005D7D2D"/>
        </w:tc>
        <w:tc>
          <w:tcPr>
            <w:tcW w:w="540" w:type="dxa"/>
          </w:tcPr>
          <w:p w:rsidR="005D7D2D" w:rsidRDefault="005D7D2D"/>
        </w:tc>
        <w:tc>
          <w:tcPr>
            <w:tcW w:w="720" w:type="dxa"/>
          </w:tcPr>
          <w:p w:rsidR="005D7D2D" w:rsidRDefault="005D7D2D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686397" w:rsidRPr="002E70A5" w:rsidRDefault="00686397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>In case of Trading Companies:</w:t>
            </w:r>
          </w:p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11" w:lineRule="exact"/>
              <w:rPr>
                <w:rFonts w:ascii="Calibri" w:hAnsi="Calibri" w:cs="Calibri"/>
              </w:rPr>
            </w:pPr>
          </w:p>
          <w:p w:rsidR="00686397" w:rsidRPr="00B9779A" w:rsidRDefault="00686397" w:rsidP="00B9779A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720" w:right="2320" w:hanging="369"/>
              <w:jc w:val="both"/>
              <w:rPr>
                <w:rFonts w:ascii="Arial" w:hAnsi="Arial" w:cs="Arial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Purchases of goods traded in by Company under broad heads</w:t>
            </w:r>
          </w:p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F77CED">
            <w:r>
              <w:t>Iii</w:t>
            </w:r>
          </w:p>
        </w:tc>
        <w:tc>
          <w:tcPr>
            <w:tcW w:w="7393" w:type="dxa"/>
          </w:tcPr>
          <w:p w:rsidR="00686397" w:rsidRPr="00AA5116" w:rsidRDefault="00686397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Changes in Inventories of Finished Goods, Work-in-progress and Stock-in-trade:</w:t>
            </w:r>
          </w:p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21" w:lineRule="exact"/>
              <w:rPr>
                <w:rFonts w:ascii="Calibri" w:hAnsi="Calibri" w:cs="Calibri"/>
              </w:rPr>
            </w:pPr>
          </w:p>
          <w:p w:rsidR="00686397" w:rsidRPr="002E70A5" w:rsidRDefault="00686397" w:rsidP="005D7D2D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720" w:right="3280" w:hanging="369"/>
              <w:jc w:val="both"/>
              <w:rPr>
                <w:rFonts w:ascii="Arial" w:hAnsi="Arial" w:cs="Arial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 xml:space="preserve">Work in progress to be shown under broad heads </w:t>
            </w:r>
          </w:p>
          <w:p w:rsidR="00686397" w:rsidRPr="002E70A5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5D7D2D" w:rsidRPr="002B1668" w:rsidTr="00EC760D">
        <w:tc>
          <w:tcPr>
            <w:tcW w:w="695" w:type="dxa"/>
          </w:tcPr>
          <w:p w:rsidR="005D7D2D" w:rsidRDefault="00F77CED">
            <w:r>
              <w:t>Iv</w:t>
            </w:r>
          </w:p>
        </w:tc>
        <w:tc>
          <w:tcPr>
            <w:tcW w:w="7393" w:type="dxa"/>
          </w:tcPr>
          <w:p w:rsidR="005D7D2D" w:rsidRPr="00AA5116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Employee Benefits Expense</w:t>
            </w:r>
          </w:p>
          <w:p w:rsidR="005D7D2D" w:rsidRPr="002E70A5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5D7D2D" w:rsidRDefault="005D7D2D"/>
        </w:tc>
        <w:tc>
          <w:tcPr>
            <w:tcW w:w="540" w:type="dxa"/>
          </w:tcPr>
          <w:p w:rsidR="005D7D2D" w:rsidRDefault="005D7D2D"/>
        </w:tc>
        <w:tc>
          <w:tcPr>
            <w:tcW w:w="720" w:type="dxa"/>
          </w:tcPr>
          <w:p w:rsidR="005D7D2D" w:rsidRDefault="005D7D2D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Pr="002E70A5" w:rsidRDefault="00F77CED" w:rsidP="00F77C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>Whether t</w:t>
            </w:r>
            <w:r w:rsidR="00686397" w:rsidRPr="002E70A5">
              <w:rPr>
                <w:rFonts w:ascii="Calibri" w:hAnsi="Calibri" w:cs="Calibri"/>
              </w:rPr>
              <w:t xml:space="preserve">he following </w:t>
            </w:r>
            <w:r w:rsidR="00AA5116">
              <w:rPr>
                <w:rFonts w:ascii="Calibri" w:hAnsi="Calibri" w:cs="Calibri"/>
              </w:rPr>
              <w:t xml:space="preserve"> have</w:t>
            </w:r>
            <w:r w:rsidRPr="002E70A5">
              <w:rPr>
                <w:rFonts w:ascii="Calibri" w:hAnsi="Calibri" w:cs="Calibri"/>
              </w:rPr>
              <w:t xml:space="preserve"> been </w:t>
            </w:r>
            <w:r w:rsidR="00686397" w:rsidRPr="002E70A5">
              <w:rPr>
                <w:rFonts w:ascii="Calibri" w:hAnsi="Calibri" w:cs="Calibri"/>
              </w:rPr>
              <w:t>shown separately:</w:t>
            </w:r>
          </w:p>
          <w:p w:rsidR="00686397" w:rsidRPr="002E70A5" w:rsidRDefault="00686397" w:rsidP="00686397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Salaries and Wages</w:t>
            </w:r>
          </w:p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Pr="002E70A5" w:rsidRDefault="00686397" w:rsidP="00686397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Contribution to Provident and Other Funds</w:t>
            </w:r>
          </w:p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Pr="002E70A5" w:rsidRDefault="00686397" w:rsidP="00686397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Expenses on Employee Stock Option Scheme (ESOP) and Employee Stock Purchase Plan (ESPP)</w:t>
            </w:r>
          </w:p>
          <w:p w:rsidR="00686397" w:rsidRPr="002E70A5" w:rsidRDefault="00686397" w:rsidP="0068639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Pr="002E70A5" w:rsidRDefault="00686397" w:rsidP="00686397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Staff Welfare Expenses</w:t>
            </w:r>
          </w:p>
          <w:p w:rsidR="00686397" w:rsidRPr="002E70A5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5D7D2D" w:rsidRPr="002B1668" w:rsidTr="00EC760D">
        <w:tc>
          <w:tcPr>
            <w:tcW w:w="695" w:type="dxa"/>
          </w:tcPr>
          <w:p w:rsidR="005D7D2D" w:rsidRDefault="00F77CED">
            <w:r>
              <w:t>V</w:t>
            </w:r>
          </w:p>
        </w:tc>
        <w:tc>
          <w:tcPr>
            <w:tcW w:w="7393" w:type="dxa"/>
          </w:tcPr>
          <w:p w:rsidR="005D7D2D" w:rsidRPr="00AA5116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Finance Costs</w:t>
            </w:r>
          </w:p>
          <w:p w:rsidR="005D7D2D" w:rsidRPr="002E70A5" w:rsidRDefault="005D7D2D" w:rsidP="005D7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5D7D2D" w:rsidRDefault="005D7D2D"/>
        </w:tc>
        <w:tc>
          <w:tcPr>
            <w:tcW w:w="540" w:type="dxa"/>
          </w:tcPr>
          <w:p w:rsidR="005D7D2D" w:rsidRDefault="005D7D2D"/>
        </w:tc>
        <w:tc>
          <w:tcPr>
            <w:tcW w:w="720" w:type="dxa"/>
          </w:tcPr>
          <w:p w:rsidR="005D7D2D" w:rsidRDefault="005D7D2D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5D7D2D" w:rsidRPr="002E70A5" w:rsidRDefault="005D7D2D" w:rsidP="005D7D2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5D7D2D" w:rsidRPr="002E70A5" w:rsidRDefault="00F77CED" w:rsidP="00F77C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 xml:space="preserve">Whether </w:t>
            </w:r>
            <w:r w:rsidR="005D7D2D" w:rsidRPr="002E70A5">
              <w:rPr>
                <w:rFonts w:ascii="Calibri" w:hAnsi="Calibri" w:cs="Calibri"/>
              </w:rPr>
              <w:t xml:space="preserve">Finance Cost </w:t>
            </w:r>
            <w:r w:rsidRPr="002E70A5">
              <w:rPr>
                <w:rFonts w:ascii="Calibri" w:hAnsi="Calibri" w:cs="Calibri"/>
              </w:rPr>
              <w:t xml:space="preserve">are classified </w:t>
            </w:r>
            <w:r w:rsidR="005D7D2D" w:rsidRPr="002E70A5">
              <w:rPr>
                <w:rFonts w:ascii="Calibri" w:hAnsi="Calibri" w:cs="Calibri"/>
              </w:rPr>
              <w:t>into:</w:t>
            </w:r>
          </w:p>
          <w:p w:rsidR="005D7D2D" w:rsidRPr="002E70A5" w:rsidRDefault="005D7D2D" w:rsidP="005D7D2D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Interest Expense</w:t>
            </w:r>
          </w:p>
          <w:p w:rsidR="005D7D2D" w:rsidRPr="002E70A5" w:rsidRDefault="005D7D2D" w:rsidP="005D7D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Pr="002E70A5" w:rsidRDefault="005D7D2D" w:rsidP="005D7D2D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Other Borrowing Cost</w:t>
            </w:r>
          </w:p>
          <w:p w:rsidR="005D7D2D" w:rsidRPr="002E70A5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Pr="002E70A5" w:rsidRDefault="005D7D2D" w:rsidP="005D7D2D">
            <w:pPr>
              <w:widowControl w:val="0"/>
              <w:numPr>
                <w:ilvl w:val="2"/>
                <w:numId w:val="35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A5">
              <w:rPr>
                <w:rFonts w:ascii="Calibri" w:hAnsi="Calibri" w:cs="Calibri"/>
                <w:sz w:val="20"/>
                <w:szCs w:val="20"/>
              </w:rPr>
              <w:t>Net gain / loss from foreign currency transactions and translations</w:t>
            </w:r>
          </w:p>
          <w:p w:rsidR="00686397" w:rsidRPr="002E70A5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5D7D2D" w:rsidRPr="002B1668" w:rsidTr="00EC760D">
        <w:tc>
          <w:tcPr>
            <w:tcW w:w="695" w:type="dxa"/>
          </w:tcPr>
          <w:p w:rsidR="005D7D2D" w:rsidRDefault="00F77CED">
            <w:r>
              <w:t>Vi</w:t>
            </w:r>
          </w:p>
        </w:tc>
        <w:tc>
          <w:tcPr>
            <w:tcW w:w="7393" w:type="dxa"/>
          </w:tcPr>
          <w:p w:rsidR="005D7D2D" w:rsidRPr="00AA5116" w:rsidRDefault="005D7D2D" w:rsidP="00F77C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Other Expenses</w:t>
            </w:r>
          </w:p>
          <w:p w:rsidR="005D7D2D" w:rsidRPr="002E70A5" w:rsidRDefault="005D7D2D" w:rsidP="005D7D2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</w:tc>
        <w:tc>
          <w:tcPr>
            <w:tcW w:w="732" w:type="dxa"/>
          </w:tcPr>
          <w:p w:rsidR="005D7D2D" w:rsidRDefault="005D7D2D"/>
        </w:tc>
        <w:tc>
          <w:tcPr>
            <w:tcW w:w="540" w:type="dxa"/>
          </w:tcPr>
          <w:p w:rsidR="005D7D2D" w:rsidRDefault="005D7D2D"/>
        </w:tc>
        <w:tc>
          <w:tcPr>
            <w:tcW w:w="720" w:type="dxa"/>
          </w:tcPr>
          <w:p w:rsidR="005D7D2D" w:rsidRDefault="005D7D2D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5D7D2D" w:rsidRPr="00AA5116" w:rsidRDefault="00F77CED" w:rsidP="00F77CED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Calibri" w:hAnsi="Calibri" w:cs="Calibri"/>
                <w:b/>
                <w:bCs/>
              </w:rPr>
            </w:pPr>
            <w:r w:rsidRPr="00AA5116">
              <w:rPr>
                <w:rFonts w:ascii="Calibri" w:hAnsi="Calibri" w:cs="Calibri"/>
                <w:b/>
                <w:bCs/>
              </w:rPr>
              <w:t>Whether sepa</w:t>
            </w:r>
            <w:r w:rsidR="00AA5116">
              <w:rPr>
                <w:rFonts w:ascii="Calibri" w:hAnsi="Calibri" w:cs="Calibri"/>
                <w:b/>
                <w:bCs/>
              </w:rPr>
              <w:t>rate disclosure of following have</w:t>
            </w:r>
            <w:r w:rsidRPr="00AA5116">
              <w:rPr>
                <w:rFonts w:ascii="Calibri" w:hAnsi="Calibri" w:cs="Calibri"/>
                <w:b/>
                <w:bCs/>
              </w:rPr>
              <w:t xml:space="preserve"> been made;</w:t>
            </w:r>
          </w:p>
          <w:p w:rsidR="005D7D2D" w:rsidRPr="002E70A5" w:rsidRDefault="00F77CED" w:rsidP="00F77CED">
            <w:pPr>
              <w:pStyle w:val="ListParagraph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>a</w:t>
            </w:r>
            <w:r w:rsidR="005D7D2D" w:rsidRPr="002E70A5">
              <w:rPr>
                <w:rFonts w:ascii="Calibri" w:hAnsi="Calibri" w:cs="Calibri"/>
              </w:rPr>
              <w:t xml:space="preserve">ny item of expenditure which exceed 1 % of revenue from operations or Rs.1 </w:t>
            </w:r>
            <w:proofErr w:type="spellStart"/>
            <w:r w:rsidR="005D7D2D" w:rsidRPr="002E70A5">
              <w:rPr>
                <w:rFonts w:ascii="Calibri" w:hAnsi="Calibri" w:cs="Calibri"/>
              </w:rPr>
              <w:t>lakh</w:t>
            </w:r>
            <w:proofErr w:type="spellEnd"/>
            <w:r w:rsidR="005D7D2D" w:rsidRPr="002E70A5">
              <w:rPr>
                <w:rFonts w:ascii="Calibri" w:hAnsi="Calibri" w:cs="Calibri"/>
              </w:rPr>
              <w:t>, whichever is higher</w:t>
            </w:r>
          </w:p>
          <w:p w:rsidR="005D7D2D" w:rsidRPr="002E70A5" w:rsidRDefault="005D7D2D" w:rsidP="005D7D2D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Calibri" w:hAnsi="Calibri" w:cs="Calibri"/>
              </w:rPr>
            </w:pPr>
          </w:p>
          <w:p w:rsidR="005D7D2D" w:rsidRPr="006036EB" w:rsidRDefault="005D7D2D" w:rsidP="006036EB">
            <w:pPr>
              <w:pStyle w:val="ListParagraph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>Adjustments to the carrying amount of investments</w:t>
            </w:r>
          </w:p>
          <w:p w:rsidR="00F77CED" w:rsidRPr="002E70A5" w:rsidRDefault="00F77CED" w:rsidP="005D7D2D">
            <w:pPr>
              <w:widowControl w:val="0"/>
              <w:autoSpaceDE w:val="0"/>
              <w:autoSpaceDN w:val="0"/>
              <w:adjustRightInd w:val="0"/>
              <w:spacing w:line="249" w:lineRule="exact"/>
              <w:rPr>
                <w:rFonts w:ascii="Calibri" w:hAnsi="Calibri" w:cs="Calibri"/>
              </w:rPr>
            </w:pPr>
          </w:p>
          <w:p w:rsidR="005D7D2D" w:rsidRPr="002E70A5" w:rsidRDefault="005D7D2D" w:rsidP="002E70A5">
            <w:pPr>
              <w:pStyle w:val="ListParagraph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>Prior Period Items</w:t>
            </w:r>
          </w:p>
          <w:p w:rsidR="002E70A5" w:rsidRPr="002E70A5" w:rsidRDefault="002E70A5" w:rsidP="002E70A5">
            <w:pPr>
              <w:pStyle w:val="ListParagraph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48" w:lineRule="auto"/>
              <w:jc w:val="both"/>
              <w:rPr>
                <w:rFonts w:ascii="Calibri" w:hAnsi="Calibri" w:cs="Calibri"/>
              </w:rPr>
            </w:pPr>
            <w:r w:rsidRPr="002E70A5">
              <w:rPr>
                <w:rFonts w:ascii="Calibri" w:hAnsi="Calibri" w:cs="Calibri"/>
              </w:rPr>
              <w:t xml:space="preserve">Net loss from foreign currency transactions and transactions other than    </w:t>
            </w:r>
            <w:r w:rsidRPr="002E70A5">
              <w:rPr>
                <w:rFonts w:ascii="Calibri" w:hAnsi="Calibri" w:cs="Calibri"/>
              </w:rPr>
              <w:lastRenderedPageBreak/>
              <w:t>those considered as Finance Costs</w:t>
            </w:r>
          </w:p>
          <w:p w:rsidR="002E70A5" w:rsidRPr="002E70A5" w:rsidRDefault="002E70A5" w:rsidP="002E70A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86397" w:rsidRPr="002E70A5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2E70A5">
            <w:r>
              <w:lastRenderedPageBreak/>
              <w:t>vii</w:t>
            </w:r>
          </w:p>
        </w:tc>
        <w:tc>
          <w:tcPr>
            <w:tcW w:w="7393" w:type="dxa"/>
          </w:tcPr>
          <w:p w:rsidR="005D7D2D" w:rsidRDefault="002E70A5" w:rsidP="002E70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Whether f</w:t>
            </w:r>
            <w:r w:rsidR="005D7D2D">
              <w:rPr>
                <w:rFonts w:ascii="Calibri" w:hAnsi="Calibri" w:cs="Calibri"/>
                <w:b/>
                <w:bCs/>
              </w:rPr>
              <w:t xml:space="preserve">ollowing expenditures </w:t>
            </w:r>
            <w:r w:rsidR="00AA5116">
              <w:rPr>
                <w:rFonts w:ascii="Calibri" w:hAnsi="Calibri" w:cs="Calibri"/>
                <w:b/>
                <w:bCs/>
              </w:rPr>
              <w:t>have</w:t>
            </w:r>
            <w:r>
              <w:rPr>
                <w:rFonts w:ascii="Calibri" w:hAnsi="Calibri" w:cs="Calibri"/>
                <w:b/>
                <w:bCs/>
              </w:rPr>
              <w:t xml:space="preserve"> been </w:t>
            </w:r>
            <w:r w:rsidR="005D7D2D">
              <w:rPr>
                <w:rFonts w:ascii="Calibri" w:hAnsi="Calibri" w:cs="Calibri"/>
                <w:b/>
                <w:bCs/>
              </w:rPr>
              <w:t>shown separately: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Consumption of stores and spare parts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 and Fuel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Rent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Repairs to Buildings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Repairs to Machinery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Rates and Taxes, excluding Tax on Income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2"/>
                <w:numId w:val="36"/>
              </w:numPr>
              <w:tabs>
                <w:tab w:val="clear" w:pos="2160"/>
                <w:tab w:val="num" w:pos="172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Miscellaneous Expenses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Arial" w:hAnsi="Arial" w:cs="Arial"/>
                <w:sz w:val="20"/>
                <w:szCs w:val="20"/>
              </w:rPr>
            </w:pP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F77CED" w:rsidRPr="002B1668" w:rsidTr="00EC760D">
        <w:tc>
          <w:tcPr>
            <w:tcW w:w="695" w:type="dxa"/>
          </w:tcPr>
          <w:p w:rsidR="00F77CED" w:rsidRDefault="002E70A5">
            <w:r>
              <w:t>viii</w:t>
            </w:r>
          </w:p>
        </w:tc>
        <w:tc>
          <w:tcPr>
            <w:tcW w:w="7393" w:type="dxa"/>
          </w:tcPr>
          <w:p w:rsidR="002E70A5" w:rsidRDefault="002E70A5" w:rsidP="002E70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Whether payment to the Auditors are classified into:</w:t>
            </w:r>
          </w:p>
          <w:p w:rsidR="002E70A5" w:rsidRDefault="002E70A5" w:rsidP="002E70A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2E70A5" w:rsidRDefault="002E70A5" w:rsidP="002E70A5">
            <w:pPr>
              <w:widowControl w:val="0"/>
              <w:numPr>
                <w:ilvl w:val="2"/>
                <w:numId w:val="38"/>
              </w:numPr>
              <w:overflowPunct w:val="0"/>
              <w:autoSpaceDE w:val="0"/>
              <w:autoSpaceDN w:val="0"/>
              <w:adjustRightInd w:val="0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Auditors</w:t>
            </w:r>
          </w:p>
          <w:p w:rsidR="002E70A5" w:rsidRDefault="002E70A5" w:rsidP="002E70A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2E70A5" w:rsidRDefault="002E70A5" w:rsidP="002E70A5">
            <w:pPr>
              <w:widowControl w:val="0"/>
              <w:numPr>
                <w:ilvl w:val="2"/>
                <w:numId w:val="38"/>
              </w:numPr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Taxation matters</w:t>
            </w:r>
          </w:p>
          <w:p w:rsidR="002E70A5" w:rsidRDefault="002E70A5" w:rsidP="002E70A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2E70A5" w:rsidRDefault="002E70A5" w:rsidP="002E70A5">
            <w:pPr>
              <w:widowControl w:val="0"/>
              <w:numPr>
                <w:ilvl w:val="2"/>
                <w:numId w:val="38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Company Law matters</w:t>
            </w:r>
          </w:p>
          <w:p w:rsidR="002E70A5" w:rsidRDefault="002E70A5" w:rsidP="002E70A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2E70A5" w:rsidRDefault="002E70A5" w:rsidP="002E70A5">
            <w:pPr>
              <w:widowControl w:val="0"/>
              <w:numPr>
                <w:ilvl w:val="2"/>
                <w:numId w:val="38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Management services</w:t>
            </w:r>
          </w:p>
          <w:p w:rsidR="002E70A5" w:rsidRDefault="002E70A5" w:rsidP="002E70A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2E70A5" w:rsidRDefault="002E70A5" w:rsidP="002E70A5">
            <w:pPr>
              <w:widowControl w:val="0"/>
              <w:numPr>
                <w:ilvl w:val="2"/>
                <w:numId w:val="38"/>
              </w:numPr>
              <w:overflowPunct w:val="0"/>
              <w:autoSpaceDE w:val="0"/>
              <w:autoSpaceDN w:val="0"/>
              <w:adjustRightInd w:val="0"/>
              <w:spacing w:line="234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other services</w:t>
            </w:r>
          </w:p>
          <w:p w:rsidR="002E70A5" w:rsidRDefault="002E70A5" w:rsidP="002E70A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2E70A5" w:rsidRDefault="002E70A5" w:rsidP="002E70A5">
            <w:pPr>
              <w:widowControl w:val="0"/>
              <w:numPr>
                <w:ilvl w:val="2"/>
                <w:numId w:val="38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1720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Reimbursement of expenses</w:t>
            </w:r>
          </w:p>
          <w:p w:rsidR="00F77CED" w:rsidRDefault="00F77CED" w:rsidP="002E70A5">
            <w:pPr>
              <w:widowControl w:val="0"/>
              <w:overflowPunct w:val="0"/>
              <w:autoSpaceDE w:val="0"/>
              <w:autoSpaceDN w:val="0"/>
              <w:adjustRightInd w:val="0"/>
              <w:ind w:left="1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2" w:type="dxa"/>
          </w:tcPr>
          <w:p w:rsidR="00F77CED" w:rsidRDefault="00F77CED"/>
        </w:tc>
        <w:tc>
          <w:tcPr>
            <w:tcW w:w="540" w:type="dxa"/>
          </w:tcPr>
          <w:p w:rsidR="00F77CED" w:rsidRDefault="00F77CED"/>
        </w:tc>
        <w:tc>
          <w:tcPr>
            <w:tcW w:w="720" w:type="dxa"/>
          </w:tcPr>
          <w:p w:rsidR="00F77CED" w:rsidRDefault="00F77CED"/>
        </w:tc>
      </w:tr>
      <w:tr w:rsidR="00686397" w:rsidRPr="002B1668" w:rsidTr="00EC760D">
        <w:tc>
          <w:tcPr>
            <w:tcW w:w="695" w:type="dxa"/>
          </w:tcPr>
          <w:p w:rsidR="00686397" w:rsidRDefault="002E70A5">
            <w:r>
              <w:t>Ix</w:t>
            </w:r>
          </w:p>
        </w:tc>
        <w:tc>
          <w:tcPr>
            <w:tcW w:w="7393" w:type="dxa"/>
          </w:tcPr>
          <w:p w:rsidR="005D7D2D" w:rsidRDefault="002E70A5" w:rsidP="002E70A5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Whether v</w:t>
            </w:r>
            <w:r w:rsidR="005D7D2D">
              <w:rPr>
                <w:rFonts w:ascii="Calibri" w:hAnsi="Calibri" w:cs="Calibri"/>
                <w:b/>
                <w:bCs/>
              </w:rPr>
              <w:t>alue of imports during the year calculated on CIF basis have been shown by way of note in respect of :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Calibri" w:hAnsi="Calibri" w:cs="Calibri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Raw materials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Components and spare parts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Capital goods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2E70A5">
            <w:r>
              <w:t>X</w:t>
            </w:r>
          </w:p>
        </w:tc>
        <w:tc>
          <w:tcPr>
            <w:tcW w:w="7393" w:type="dxa"/>
          </w:tcPr>
          <w:p w:rsidR="005D7D2D" w:rsidRDefault="00AA5116" w:rsidP="00AA51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Whether e</w:t>
            </w:r>
            <w:r w:rsidR="005D7D2D">
              <w:rPr>
                <w:rFonts w:ascii="Calibri" w:hAnsi="Calibri" w:cs="Calibri"/>
                <w:b/>
                <w:bCs/>
              </w:rPr>
              <w:t>xpenditure in foreign currency on the following during the year</w:t>
            </w:r>
            <w:r>
              <w:rPr>
                <w:rFonts w:ascii="Calibri" w:hAnsi="Calibri" w:cs="Calibri"/>
                <w:b/>
                <w:bCs/>
              </w:rPr>
              <w:t xml:space="preserve"> have been shown by way of note in respect of </w:t>
            </w:r>
            <w:r w:rsidR="005D7D2D">
              <w:rPr>
                <w:rFonts w:ascii="Calibri" w:hAnsi="Calibri" w:cs="Calibri"/>
                <w:b/>
                <w:bCs/>
              </w:rPr>
              <w:t>: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Royalty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Know-how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and consultancy fees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matters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2E70A5">
            <w:r>
              <w:t>Xi</w:t>
            </w:r>
          </w:p>
        </w:tc>
        <w:tc>
          <w:tcPr>
            <w:tcW w:w="7393" w:type="dxa"/>
          </w:tcPr>
          <w:p w:rsidR="005D7D2D" w:rsidRDefault="002E70A5" w:rsidP="002E70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Whether v</w:t>
            </w:r>
            <w:r w:rsidR="005D7D2D">
              <w:rPr>
                <w:rFonts w:ascii="Calibri" w:hAnsi="Calibri" w:cs="Calibri"/>
                <w:b/>
                <w:bCs/>
              </w:rPr>
              <w:t>alue of indigenous and imported materials</w:t>
            </w:r>
            <w:r>
              <w:rPr>
                <w:rFonts w:ascii="Calibri" w:hAnsi="Calibri" w:cs="Calibri"/>
                <w:b/>
                <w:bCs/>
              </w:rPr>
              <w:t xml:space="preserve"> have been shown by way of note in respect of </w:t>
            </w:r>
          </w:p>
          <w:p w:rsidR="005D7D2D" w:rsidRDefault="005D7D2D" w:rsidP="005D7D2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Calibri" w:hAnsi="Calibri" w:cs="Calibri"/>
              </w:rPr>
            </w:pP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41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value of all imported raw materials, spare parts and components consumed during the financial year</w:t>
            </w: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value of all indigenous raw materials, spare parts and components consumed during the financial year</w:t>
            </w:r>
          </w:p>
          <w:p w:rsidR="005D7D2D" w:rsidRDefault="005D7D2D" w:rsidP="005D7D2D">
            <w:pPr>
              <w:widowControl w:val="0"/>
              <w:numPr>
                <w:ilvl w:val="1"/>
                <w:numId w:val="3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percentage of each to total consumption</w:t>
            </w:r>
          </w:p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  <w:tr w:rsidR="00686397" w:rsidRPr="002B1668" w:rsidTr="00EC760D">
        <w:tc>
          <w:tcPr>
            <w:tcW w:w="695" w:type="dxa"/>
          </w:tcPr>
          <w:p w:rsidR="00686397" w:rsidRDefault="00686397"/>
        </w:tc>
        <w:tc>
          <w:tcPr>
            <w:tcW w:w="7393" w:type="dxa"/>
          </w:tcPr>
          <w:p w:rsidR="00686397" w:rsidRDefault="00686397"/>
        </w:tc>
        <w:tc>
          <w:tcPr>
            <w:tcW w:w="732" w:type="dxa"/>
          </w:tcPr>
          <w:p w:rsidR="00686397" w:rsidRDefault="00686397"/>
        </w:tc>
        <w:tc>
          <w:tcPr>
            <w:tcW w:w="540" w:type="dxa"/>
          </w:tcPr>
          <w:p w:rsidR="00686397" w:rsidRDefault="00686397"/>
        </w:tc>
        <w:tc>
          <w:tcPr>
            <w:tcW w:w="720" w:type="dxa"/>
          </w:tcPr>
          <w:p w:rsidR="00686397" w:rsidRDefault="00686397"/>
        </w:tc>
      </w:tr>
    </w:tbl>
    <w:p w:rsidR="0005536E" w:rsidRDefault="0005536E"/>
    <w:p w:rsidR="00316DC3" w:rsidRDefault="00316DC3"/>
    <w:sectPr w:rsidR="00316DC3" w:rsidSect="002B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F6" w:rsidRDefault="00CF23F6" w:rsidP="002B1668">
      <w:pPr>
        <w:spacing w:after="0" w:line="240" w:lineRule="auto"/>
      </w:pPr>
      <w:r>
        <w:separator/>
      </w:r>
    </w:p>
  </w:endnote>
  <w:endnote w:type="continuationSeparator" w:id="1">
    <w:p w:rsidR="00CF23F6" w:rsidRDefault="00CF23F6" w:rsidP="002B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9691"/>
      <w:docPartObj>
        <w:docPartGallery w:val="Page Numbers (Bottom of Page)"/>
        <w:docPartUnique/>
      </w:docPartObj>
    </w:sdtPr>
    <w:sdtContent>
      <w:p w:rsidR="00F77CED" w:rsidRDefault="00681CCE">
        <w:pPr>
          <w:pStyle w:val="Footer"/>
          <w:jc w:val="right"/>
        </w:pPr>
        <w:fldSimple w:instr=" PAGE   \* MERGEFORMAT ">
          <w:r w:rsidR="0007592A">
            <w:rPr>
              <w:noProof/>
            </w:rPr>
            <w:t>5</w:t>
          </w:r>
        </w:fldSimple>
      </w:p>
    </w:sdtContent>
  </w:sdt>
  <w:p w:rsidR="00F77CED" w:rsidRPr="00385EB0" w:rsidRDefault="00385EB0" w:rsidP="00385EB0">
    <w:pPr>
      <w:widowControl w:val="0"/>
      <w:tabs>
        <w:tab w:val="left" w:pos="5740"/>
      </w:tabs>
      <w:autoSpaceDE w:val="0"/>
      <w:autoSpaceDN w:val="0"/>
      <w:adjustRightInd w:val="0"/>
      <w:rPr>
        <w:rFonts w:ascii="Times New Roman" w:hAnsi="Times New Roman"/>
        <w:sz w:val="24"/>
        <w:szCs w:val="24"/>
      </w:rPr>
    </w:pPr>
    <w:r>
      <w:rPr>
        <w:rFonts w:ascii="Helvetica" w:hAnsi="Helvetica" w:cs="Helvetica"/>
        <w:i/>
        <w:iCs/>
        <w:color w:val="292526"/>
      </w:rPr>
      <w:t xml:space="preserve">Checked by:    </w:t>
    </w:r>
    <w:r>
      <w:rPr>
        <w:rFonts w:ascii="Helvetica" w:hAnsi="Helvetica" w:cs="Helvetica"/>
        <w:i/>
        <w:iCs/>
        <w:color w:val="292526"/>
      </w:rPr>
      <w:tab/>
      <w:t>Reviewed by: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F6" w:rsidRDefault="00CF23F6" w:rsidP="002B1668">
      <w:pPr>
        <w:spacing w:after="0" w:line="240" w:lineRule="auto"/>
      </w:pPr>
      <w:r>
        <w:separator/>
      </w:r>
    </w:p>
  </w:footnote>
  <w:footnote w:type="continuationSeparator" w:id="1">
    <w:p w:rsidR="00CF23F6" w:rsidRDefault="00CF23F6" w:rsidP="002B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2A" w:rsidRDefault="00075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5047" o:spid="_x0000_s8194" type="#_x0000_t136" style="position:absolute;margin-left:0;margin-top:0;width:543.75pt;height:6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nrollmyexperienc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ED" w:rsidRDefault="0007592A" w:rsidP="0007592A">
    <w:pPr>
      <w:pStyle w:val="Header"/>
      <w:ind w:left="1800" w:firstLine="39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5048" o:spid="_x0000_s8195" type="#_x0000_t136" style="position:absolute;left:0;text-align:left;margin-left:0;margin-top:0;width:543.75pt;height:6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nrollmyexperience.com"/>
        </v:shape>
      </w:pict>
    </w:r>
    <w:r w:rsidR="00F77CED">
      <w:t xml:space="preserve"> SCHEDULE-III CHECKLIST</w:t>
    </w:r>
  </w:p>
  <w:p w:rsidR="00F77CED" w:rsidRDefault="00F77C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2A" w:rsidRDefault="00075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5046" o:spid="_x0000_s8193" type="#_x0000_t136" style="position:absolute;margin-left:0;margin-top:0;width:543.75pt;height:6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nrollmyexperience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2F14"/>
    <w:lvl w:ilvl="0" w:tplc="00006A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22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5991"/>
    <w:lvl w:ilvl="0" w:tplc="0000409D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798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21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73DA"/>
    <w:lvl w:ilvl="0" w:tplc="000058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48CC"/>
    <w:lvl w:ilvl="0" w:tplc="0000575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39D"/>
    <w:lvl w:ilvl="0" w:tplc="00007049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BE"/>
    <w:multiLevelType w:val="hybridMultilevel"/>
    <w:tmpl w:val="00005D03"/>
    <w:lvl w:ilvl="0" w:tplc="00007A5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15A1"/>
    <w:lvl w:ilvl="0" w:tplc="00005422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8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6B89"/>
    <w:lvl w:ilvl="0" w:tplc="0000030A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00000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01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54DC"/>
    <w:lvl w:ilvl="0" w:tplc="0000368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D6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4080"/>
    <w:lvl w:ilvl="0" w:tplc="00005DB2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7F96"/>
    <w:lvl w:ilvl="0" w:tplc="00007FF5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21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0D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BB"/>
    <w:multiLevelType w:val="hybridMultilevel"/>
    <w:tmpl w:val="00004230"/>
    <w:lvl w:ilvl="0" w:tplc="00007EB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0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23"/>
    <w:multiLevelType w:val="hybridMultilevel"/>
    <w:tmpl w:val="0000074D"/>
    <w:lvl w:ilvl="0" w:tplc="00004DC8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26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701F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E1"/>
    <w:multiLevelType w:val="hybridMultilevel"/>
    <w:tmpl w:val="00001E1F"/>
    <w:lvl w:ilvl="0" w:tplc="00006E5D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B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7DD1"/>
    <w:lvl w:ilvl="0" w:tplc="000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2E40"/>
    <w:lvl w:ilvl="0" w:tplc="0000136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878"/>
    <w:lvl w:ilvl="0" w:tplc="00006B36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759A"/>
    <w:lvl w:ilvl="0" w:tplc="0000235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87"/>
    <w:multiLevelType w:val="hybridMultilevel"/>
    <w:tmpl w:val="00003CD5"/>
    <w:lvl w:ilvl="0" w:tplc="000013E9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4DA5EB4"/>
    <w:multiLevelType w:val="hybridMultilevel"/>
    <w:tmpl w:val="C7323C66"/>
    <w:lvl w:ilvl="0" w:tplc="0000073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470C6A"/>
    <w:multiLevelType w:val="hybridMultilevel"/>
    <w:tmpl w:val="BAF601E6"/>
    <w:lvl w:ilvl="0" w:tplc="00001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07D27"/>
    <w:multiLevelType w:val="hybridMultilevel"/>
    <w:tmpl w:val="238E55B8"/>
    <w:lvl w:ilvl="0" w:tplc="0000323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703A4"/>
    <w:multiLevelType w:val="hybridMultilevel"/>
    <w:tmpl w:val="00001E1F"/>
    <w:lvl w:ilvl="0" w:tplc="00006E5D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B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04876CD"/>
    <w:multiLevelType w:val="hybridMultilevel"/>
    <w:tmpl w:val="EDA20414"/>
    <w:lvl w:ilvl="0" w:tplc="0000323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A0902"/>
    <w:multiLevelType w:val="hybridMultilevel"/>
    <w:tmpl w:val="A2400DC2"/>
    <w:lvl w:ilvl="0" w:tplc="000069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B57E5"/>
    <w:multiLevelType w:val="hybridMultilevel"/>
    <w:tmpl w:val="8C3AF9C0"/>
    <w:lvl w:ilvl="0" w:tplc="9A7E8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67CA2"/>
    <w:multiLevelType w:val="hybridMultilevel"/>
    <w:tmpl w:val="4DF6665E"/>
    <w:lvl w:ilvl="0" w:tplc="0000366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363AC"/>
    <w:multiLevelType w:val="hybridMultilevel"/>
    <w:tmpl w:val="264ECE96"/>
    <w:lvl w:ilvl="0" w:tplc="0000428B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13527"/>
    <w:multiLevelType w:val="hybridMultilevel"/>
    <w:tmpl w:val="9EDAC336"/>
    <w:lvl w:ilvl="0" w:tplc="0000366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78F9"/>
    <w:multiLevelType w:val="hybridMultilevel"/>
    <w:tmpl w:val="F962EC62"/>
    <w:lvl w:ilvl="0" w:tplc="730E6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13CF9"/>
    <w:multiLevelType w:val="hybridMultilevel"/>
    <w:tmpl w:val="C1267170"/>
    <w:lvl w:ilvl="0" w:tplc="00001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53848"/>
    <w:multiLevelType w:val="hybridMultilevel"/>
    <w:tmpl w:val="E58492D6"/>
    <w:lvl w:ilvl="0" w:tplc="000012E1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D2DFE"/>
    <w:multiLevelType w:val="hybridMultilevel"/>
    <w:tmpl w:val="2FE830B4"/>
    <w:lvl w:ilvl="0" w:tplc="0000798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22E46"/>
    <w:multiLevelType w:val="hybridMultilevel"/>
    <w:tmpl w:val="C624FACE"/>
    <w:lvl w:ilvl="0" w:tplc="00004E45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6106"/>
    <w:multiLevelType w:val="hybridMultilevel"/>
    <w:tmpl w:val="F3C6A5C0"/>
    <w:lvl w:ilvl="0" w:tplc="0000428B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93386"/>
    <w:multiLevelType w:val="hybridMultilevel"/>
    <w:tmpl w:val="CA105AF0"/>
    <w:lvl w:ilvl="0" w:tplc="0000617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36"/>
  </w:num>
  <w:num w:numId="5">
    <w:abstractNumId w:val="7"/>
  </w:num>
  <w:num w:numId="6">
    <w:abstractNumId w:val="6"/>
  </w:num>
  <w:num w:numId="7">
    <w:abstractNumId w:val="37"/>
  </w:num>
  <w:num w:numId="8">
    <w:abstractNumId w:val="15"/>
  </w:num>
  <w:num w:numId="9">
    <w:abstractNumId w:val="24"/>
  </w:num>
  <w:num w:numId="10">
    <w:abstractNumId w:val="32"/>
  </w:num>
  <w:num w:numId="11">
    <w:abstractNumId w:val="22"/>
  </w:num>
  <w:num w:numId="12">
    <w:abstractNumId w:val="12"/>
  </w:num>
  <w:num w:numId="13">
    <w:abstractNumId w:val="35"/>
  </w:num>
  <w:num w:numId="14">
    <w:abstractNumId w:val="25"/>
  </w:num>
  <w:num w:numId="15">
    <w:abstractNumId w:val="23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17"/>
  </w:num>
  <w:num w:numId="21">
    <w:abstractNumId w:val="28"/>
  </w:num>
  <w:num w:numId="22">
    <w:abstractNumId w:val="30"/>
  </w:num>
  <w:num w:numId="23">
    <w:abstractNumId w:val="13"/>
  </w:num>
  <w:num w:numId="24">
    <w:abstractNumId w:val="8"/>
  </w:num>
  <w:num w:numId="25">
    <w:abstractNumId w:val="1"/>
  </w:num>
  <w:num w:numId="26">
    <w:abstractNumId w:val="34"/>
  </w:num>
  <w:num w:numId="27">
    <w:abstractNumId w:val="33"/>
  </w:num>
  <w:num w:numId="28">
    <w:abstractNumId w:val="2"/>
  </w:num>
  <w:num w:numId="29">
    <w:abstractNumId w:val="4"/>
  </w:num>
  <w:num w:numId="30">
    <w:abstractNumId w:val="26"/>
  </w:num>
  <w:num w:numId="31">
    <w:abstractNumId w:val="5"/>
  </w:num>
  <w:num w:numId="32">
    <w:abstractNumId w:val="20"/>
  </w:num>
  <w:num w:numId="33">
    <w:abstractNumId w:val="11"/>
  </w:num>
  <w:num w:numId="34">
    <w:abstractNumId w:val="3"/>
  </w:num>
  <w:num w:numId="35">
    <w:abstractNumId w:val="0"/>
  </w:num>
  <w:num w:numId="36">
    <w:abstractNumId w:val="10"/>
  </w:num>
  <w:num w:numId="37">
    <w:abstractNumId w:val="1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E1EAD"/>
    <w:rsid w:val="0005536E"/>
    <w:rsid w:val="000729C2"/>
    <w:rsid w:val="0007592A"/>
    <w:rsid w:val="0012009A"/>
    <w:rsid w:val="00134310"/>
    <w:rsid w:val="001F36F2"/>
    <w:rsid w:val="0029633B"/>
    <w:rsid w:val="002B1668"/>
    <w:rsid w:val="002E70A5"/>
    <w:rsid w:val="00316DC3"/>
    <w:rsid w:val="00320AC3"/>
    <w:rsid w:val="00335DB1"/>
    <w:rsid w:val="00385EB0"/>
    <w:rsid w:val="003A2570"/>
    <w:rsid w:val="0048724B"/>
    <w:rsid w:val="0058604E"/>
    <w:rsid w:val="005D7D2D"/>
    <w:rsid w:val="005E6BF5"/>
    <w:rsid w:val="006036EB"/>
    <w:rsid w:val="00681CCE"/>
    <w:rsid w:val="00686397"/>
    <w:rsid w:val="007249B1"/>
    <w:rsid w:val="00735F9B"/>
    <w:rsid w:val="007477F0"/>
    <w:rsid w:val="0075650B"/>
    <w:rsid w:val="007B3588"/>
    <w:rsid w:val="007E1EAD"/>
    <w:rsid w:val="00813F6C"/>
    <w:rsid w:val="00860F35"/>
    <w:rsid w:val="009C0DBB"/>
    <w:rsid w:val="00A10EC8"/>
    <w:rsid w:val="00A324AF"/>
    <w:rsid w:val="00AA5116"/>
    <w:rsid w:val="00B20A63"/>
    <w:rsid w:val="00B21250"/>
    <w:rsid w:val="00B9779A"/>
    <w:rsid w:val="00BE59BB"/>
    <w:rsid w:val="00C03BC8"/>
    <w:rsid w:val="00C0475A"/>
    <w:rsid w:val="00CA6AFA"/>
    <w:rsid w:val="00CF23F6"/>
    <w:rsid w:val="00D30A52"/>
    <w:rsid w:val="00DF31A6"/>
    <w:rsid w:val="00E42E83"/>
    <w:rsid w:val="00E969AB"/>
    <w:rsid w:val="00EC760D"/>
    <w:rsid w:val="00F7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68"/>
  </w:style>
  <w:style w:type="paragraph" w:styleId="Footer">
    <w:name w:val="footer"/>
    <w:basedOn w:val="Normal"/>
    <w:link w:val="FooterChar"/>
    <w:uiPriority w:val="99"/>
    <w:unhideWhenUsed/>
    <w:rsid w:val="002B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68"/>
  </w:style>
  <w:style w:type="paragraph" w:styleId="BalloonText">
    <w:name w:val="Balloon Text"/>
    <w:basedOn w:val="Normal"/>
    <w:link w:val="BalloonTextChar"/>
    <w:uiPriority w:val="99"/>
    <w:semiHidden/>
    <w:unhideWhenUsed/>
    <w:rsid w:val="002B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C301A0-32CB-4F52-A5B2-1C671CC2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parthdzire@gmail.com</cp:lastModifiedBy>
  <cp:revision>17</cp:revision>
  <cp:lastPrinted>2015-06-01T13:25:00Z</cp:lastPrinted>
  <dcterms:created xsi:type="dcterms:W3CDTF">2015-06-01T07:57:00Z</dcterms:created>
  <dcterms:modified xsi:type="dcterms:W3CDTF">2015-06-05T10:44:00Z</dcterms:modified>
</cp:coreProperties>
</file>