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D3" w:rsidRPr="00667D5D" w:rsidRDefault="003738B8">
      <w:pPr>
        <w:rPr>
          <w:rFonts w:ascii="Book Antiqua" w:hAnsi="Book Antiqua"/>
          <w:b/>
          <w:color w:val="595959" w:themeColor="text1" w:themeTint="A6"/>
          <w:sz w:val="32"/>
          <w:szCs w:val="32"/>
          <w:u w:val="single"/>
        </w:rPr>
      </w:pPr>
      <w:r w:rsidRPr="00667D5D">
        <w:rPr>
          <w:rFonts w:ascii="Book Antiqua" w:hAnsi="Book Antiqua"/>
          <w:b/>
          <w:color w:val="595959" w:themeColor="text1" w:themeTint="A6"/>
          <w:sz w:val="32"/>
          <w:szCs w:val="32"/>
          <w:u w:val="single"/>
        </w:rPr>
        <w:t>Summary of Sections 77 to 87 related to Registration &amp; Satisfaction of Charge</w:t>
      </w:r>
      <w:r w:rsidR="00EC3B05" w:rsidRPr="00667D5D">
        <w:rPr>
          <w:rFonts w:ascii="Book Antiqua" w:hAnsi="Book Antiqua"/>
          <w:b/>
          <w:color w:val="595959" w:themeColor="text1" w:themeTint="A6"/>
          <w:sz w:val="32"/>
          <w:szCs w:val="32"/>
          <w:u w:val="single"/>
        </w:rPr>
        <w:t>, in accordance with Companies Act, 2013</w:t>
      </w:r>
    </w:p>
    <w:p w:rsidR="00667D5D" w:rsidRDefault="00667D5D">
      <w:pPr>
        <w:rPr>
          <w:rFonts w:ascii="Book Antiqua" w:hAnsi="Book Antiqua"/>
          <w:b/>
          <w:sz w:val="32"/>
          <w:szCs w:val="32"/>
          <w:u w:val="single"/>
        </w:rPr>
      </w:pPr>
    </w:p>
    <w:p w:rsidR="00EC3B05" w:rsidRPr="00667D5D" w:rsidRDefault="00EC3B05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t>Section 77</w:t>
      </w:r>
      <w:r w:rsidR="008F737C" w:rsidRPr="00667D5D">
        <w:rPr>
          <w:rFonts w:ascii="Book Antiqua" w:hAnsi="Book Antiqua"/>
          <w:b/>
          <w:sz w:val="28"/>
          <w:szCs w:val="32"/>
          <w:u w:val="single"/>
        </w:rPr>
        <w:t xml:space="preserve"> – Duty to register charges</w:t>
      </w:r>
    </w:p>
    <w:p w:rsidR="008F737C" w:rsidRPr="00667D5D" w:rsidRDefault="00DF6EC2">
      <w:p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 xml:space="preserve">It shall be the duty of every company creating a charge within or outside India, on its property or assets or any of its undertakings, whether </w:t>
      </w:r>
      <w:r w:rsidR="00580251" w:rsidRPr="00667D5D">
        <w:rPr>
          <w:rFonts w:ascii="Book Antiqua" w:hAnsi="Book Antiqua"/>
          <w:sz w:val="28"/>
          <w:szCs w:val="32"/>
        </w:rPr>
        <w:t>tangible or otherwise, situated in or outside India, to register</w:t>
      </w:r>
      <w:r w:rsidR="00E2387B" w:rsidRPr="00667D5D">
        <w:rPr>
          <w:rFonts w:ascii="Book Antiqua" w:hAnsi="Book Antiqua"/>
          <w:sz w:val="28"/>
          <w:szCs w:val="32"/>
        </w:rPr>
        <w:t xml:space="preserve"> such charge within 30 days of its creation or within 300</w:t>
      </w:r>
      <w:r w:rsidR="007E50AA" w:rsidRPr="00667D5D">
        <w:rPr>
          <w:rFonts w:ascii="Book Antiqua" w:hAnsi="Book Antiqua"/>
          <w:sz w:val="28"/>
          <w:szCs w:val="32"/>
        </w:rPr>
        <w:t xml:space="preserve"> days with additional fee. Conclusive proof of registration is Certificate of registration issued by Reg</w:t>
      </w:r>
      <w:r w:rsidR="009B6FE0" w:rsidRPr="00667D5D">
        <w:rPr>
          <w:rFonts w:ascii="Book Antiqua" w:hAnsi="Book Antiqua"/>
          <w:sz w:val="28"/>
          <w:szCs w:val="32"/>
        </w:rPr>
        <w:t>istrar.</w:t>
      </w:r>
    </w:p>
    <w:p w:rsidR="00CD2C8E" w:rsidRPr="00667D5D" w:rsidRDefault="00CD2C8E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t>Section 78 – Application for Registration of charge</w:t>
      </w:r>
    </w:p>
    <w:p w:rsidR="00CD2C8E" w:rsidRPr="00667D5D" w:rsidRDefault="00561E0B">
      <w:p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>If the company fails to register</w:t>
      </w:r>
      <w:r w:rsidR="002B6A5C" w:rsidRPr="00667D5D">
        <w:rPr>
          <w:rFonts w:ascii="Book Antiqua" w:hAnsi="Book Antiqua"/>
          <w:sz w:val="28"/>
          <w:szCs w:val="32"/>
        </w:rPr>
        <w:t xml:space="preserve"> the charge within the time limits specified u/s 77,</w:t>
      </w:r>
      <w:r w:rsidR="00037BB2" w:rsidRPr="00667D5D">
        <w:rPr>
          <w:rFonts w:ascii="Book Antiqua" w:hAnsi="Book Antiqua"/>
          <w:sz w:val="28"/>
          <w:szCs w:val="32"/>
        </w:rPr>
        <w:t xml:space="preserve"> then the person in whose </w:t>
      </w:r>
      <w:proofErr w:type="spellStart"/>
      <w:r w:rsidR="00037BB2" w:rsidRPr="00667D5D">
        <w:rPr>
          <w:rFonts w:ascii="Book Antiqua" w:hAnsi="Book Antiqua"/>
          <w:sz w:val="28"/>
          <w:szCs w:val="32"/>
        </w:rPr>
        <w:t>favour</w:t>
      </w:r>
      <w:proofErr w:type="spellEnd"/>
      <w:r w:rsidR="00037BB2" w:rsidRPr="00667D5D">
        <w:rPr>
          <w:rFonts w:ascii="Book Antiqua" w:hAnsi="Book Antiqua"/>
          <w:sz w:val="28"/>
          <w:szCs w:val="32"/>
        </w:rPr>
        <w:t xml:space="preserve"> the charge is created may apply to Registrar for registration, in this case person shall be entitled to recover from the company</w:t>
      </w:r>
      <w:r w:rsidR="00BA119C" w:rsidRPr="00667D5D">
        <w:rPr>
          <w:rFonts w:ascii="Book Antiqua" w:hAnsi="Book Antiqua"/>
          <w:sz w:val="28"/>
          <w:szCs w:val="32"/>
        </w:rPr>
        <w:t xml:space="preserve"> the amount of fee paid by him.</w:t>
      </w:r>
    </w:p>
    <w:p w:rsidR="00BA119C" w:rsidRPr="00667D5D" w:rsidRDefault="00804B30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t>Section 79 – Section 77 to apply in certain cases</w:t>
      </w:r>
    </w:p>
    <w:p w:rsidR="00804B30" w:rsidRPr="00667D5D" w:rsidRDefault="00804B30" w:rsidP="00804B30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>a company acquiring any property subject to a charge within the meaning of that section; or</w:t>
      </w:r>
    </w:p>
    <w:p w:rsidR="00804B30" w:rsidRPr="00667D5D" w:rsidRDefault="00804B30" w:rsidP="00804B30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32"/>
        </w:rPr>
      </w:pPr>
      <w:proofErr w:type="gramStart"/>
      <w:r w:rsidRPr="00667D5D">
        <w:rPr>
          <w:rFonts w:ascii="Book Antiqua" w:hAnsi="Book Antiqua"/>
          <w:sz w:val="28"/>
          <w:szCs w:val="32"/>
        </w:rPr>
        <w:t>any</w:t>
      </w:r>
      <w:proofErr w:type="gramEnd"/>
      <w:r w:rsidRPr="00667D5D">
        <w:rPr>
          <w:rFonts w:ascii="Book Antiqua" w:hAnsi="Book Antiqua"/>
          <w:sz w:val="28"/>
          <w:szCs w:val="32"/>
        </w:rPr>
        <w:t xml:space="preserve"> modification in the terms or conditions or the extent or operation of any charge registered under that section</w:t>
      </w:r>
      <w:r w:rsidR="0004185D" w:rsidRPr="00667D5D">
        <w:rPr>
          <w:rFonts w:ascii="Book Antiqua" w:hAnsi="Book Antiqua"/>
          <w:sz w:val="28"/>
          <w:szCs w:val="32"/>
        </w:rPr>
        <w:t>.</w:t>
      </w:r>
    </w:p>
    <w:p w:rsidR="0004185D" w:rsidRPr="00667D5D" w:rsidRDefault="0004185D" w:rsidP="0004185D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t>Section 80 – Date of notice of charge</w:t>
      </w:r>
    </w:p>
    <w:p w:rsidR="0004185D" w:rsidRPr="00667D5D" w:rsidRDefault="007B15CA" w:rsidP="0004185D">
      <w:p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 xml:space="preserve">Holder of charge shall </w:t>
      </w:r>
      <w:proofErr w:type="gramStart"/>
      <w:r w:rsidRPr="00667D5D">
        <w:rPr>
          <w:rFonts w:ascii="Book Antiqua" w:hAnsi="Book Antiqua"/>
          <w:sz w:val="28"/>
          <w:szCs w:val="32"/>
        </w:rPr>
        <w:t>deemed</w:t>
      </w:r>
      <w:proofErr w:type="gramEnd"/>
      <w:r w:rsidRPr="00667D5D">
        <w:rPr>
          <w:rFonts w:ascii="Book Antiqua" w:hAnsi="Book Antiqua"/>
          <w:sz w:val="28"/>
          <w:szCs w:val="32"/>
        </w:rPr>
        <w:t xml:space="preserve"> to have notice of charge from the date of such registration.</w:t>
      </w:r>
    </w:p>
    <w:p w:rsidR="007B15CA" w:rsidRPr="00667D5D" w:rsidRDefault="007B15CA" w:rsidP="0004185D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t>Section 81 – Register of charges to be kept by Registrar</w:t>
      </w:r>
    </w:p>
    <w:p w:rsidR="007B15CA" w:rsidRPr="00667D5D" w:rsidRDefault="00553B1B" w:rsidP="0004185D">
      <w:p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 xml:space="preserve">Registrar, in respect of every company, keep a register containing particulars of charges registered, it shall be open for inspection by any person on payment </w:t>
      </w:r>
      <w:r w:rsidR="00DC7EAF" w:rsidRPr="00667D5D">
        <w:rPr>
          <w:rFonts w:ascii="Book Antiqua" w:hAnsi="Book Antiqua"/>
          <w:sz w:val="28"/>
          <w:szCs w:val="32"/>
        </w:rPr>
        <w:t>of fees prescribed.</w:t>
      </w:r>
    </w:p>
    <w:p w:rsidR="00DC7EAF" w:rsidRPr="00667D5D" w:rsidRDefault="00DC7EAF" w:rsidP="0004185D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lastRenderedPageBreak/>
        <w:t>Section 82 – Company to report satisfaction of charge</w:t>
      </w:r>
    </w:p>
    <w:p w:rsidR="00DC7EAF" w:rsidRPr="00667D5D" w:rsidRDefault="00CC1C9B" w:rsidP="0004185D">
      <w:p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 xml:space="preserve">Company shall give intimation of the payment or satisfaction </w:t>
      </w:r>
      <w:r w:rsidR="000023C8" w:rsidRPr="00667D5D">
        <w:rPr>
          <w:rFonts w:ascii="Book Antiqua" w:hAnsi="Book Antiqua"/>
          <w:sz w:val="28"/>
          <w:szCs w:val="32"/>
        </w:rPr>
        <w:t xml:space="preserve">within 30 days of such effect, registrar on such intimation shall give notice to the </w:t>
      </w:r>
      <w:r w:rsidR="00F95DBD" w:rsidRPr="00667D5D">
        <w:rPr>
          <w:rFonts w:ascii="Book Antiqua" w:hAnsi="Book Antiqua"/>
          <w:sz w:val="28"/>
          <w:szCs w:val="32"/>
        </w:rPr>
        <w:t>holder of charge within 14 days, if holder of charge have any objection then he may give a notice for that, if no cause is given, then registrar shall issue MEMORANDUM OF SATISFACTION of charge</w:t>
      </w:r>
      <w:r w:rsidR="00D33C47" w:rsidRPr="00667D5D">
        <w:rPr>
          <w:rFonts w:ascii="Book Antiqua" w:hAnsi="Book Antiqua"/>
          <w:sz w:val="28"/>
          <w:szCs w:val="32"/>
        </w:rPr>
        <w:t>.</w:t>
      </w:r>
    </w:p>
    <w:p w:rsidR="00297EF0" w:rsidRPr="00667D5D" w:rsidRDefault="00D33C47" w:rsidP="00C51532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t xml:space="preserve">Section 83 – Power of Registrar to make entries of satisfaction and release in absence of intimation </w:t>
      </w:r>
      <w:r w:rsidR="009F0FAD" w:rsidRPr="00667D5D">
        <w:rPr>
          <w:rFonts w:ascii="Book Antiqua" w:hAnsi="Book Antiqua"/>
          <w:b/>
          <w:sz w:val="28"/>
          <w:szCs w:val="32"/>
          <w:u w:val="single"/>
        </w:rPr>
        <w:t>from company</w:t>
      </w:r>
    </w:p>
    <w:p w:rsidR="00C51532" w:rsidRPr="00667D5D" w:rsidRDefault="00F42C12" w:rsidP="00C51532">
      <w:p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 xml:space="preserve">Registrar may, on evidence being given to his satisfaction with respect to any </w:t>
      </w:r>
      <w:proofErr w:type="gramStart"/>
      <w:r w:rsidRPr="00667D5D">
        <w:rPr>
          <w:rFonts w:ascii="Book Antiqua" w:hAnsi="Book Antiqua"/>
          <w:sz w:val="28"/>
          <w:szCs w:val="32"/>
        </w:rPr>
        <w:t>registered</w:t>
      </w:r>
      <w:proofErr w:type="gramEnd"/>
      <w:r w:rsidRPr="00667D5D">
        <w:rPr>
          <w:rFonts w:ascii="Book Antiqua" w:hAnsi="Book Antiqua"/>
          <w:sz w:val="28"/>
          <w:szCs w:val="32"/>
        </w:rPr>
        <w:t xml:space="preserve"> charge, can make entry </w:t>
      </w:r>
      <w:r w:rsidR="009C0396" w:rsidRPr="00667D5D">
        <w:rPr>
          <w:rFonts w:ascii="Book Antiqua" w:hAnsi="Book Antiqua"/>
          <w:sz w:val="28"/>
          <w:szCs w:val="32"/>
        </w:rPr>
        <w:t xml:space="preserve">of satisfaction, notwithstanding no intimation has been received by him from the company. </w:t>
      </w:r>
      <w:proofErr w:type="spellStart"/>
      <w:r w:rsidR="00C51532" w:rsidRPr="00667D5D">
        <w:rPr>
          <w:rFonts w:ascii="Book Antiqua" w:hAnsi="Book Antiqua"/>
          <w:sz w:val="28"/>
          <w:szCs w:val="32"/>
        </w:rPr>
        <w:t>The</w:t>
      </w:r>
      <w:proofErr w:type="spellEnd"/>
      <w:r w:rsidR="00C51532" w:rsidRPr="00667D5D">
        <w:rPr>
          <w:rFonts w:ascii="Book Antiqua" w:hAnsi="Book Antiqua"/>
          <w:sz w:val="28"/>
          <w:szCs w:val="32"/>
        </w:rPr>
        <w:t xml:space="preserve"> Registrar shall inform the affected parties within thirty days of making the entry in the register of charges</w:t>
      </w:r>
      <w:r w:rsidR="009C0396" w:rsidRPr="00667D5D">
        <w:rPr>
          <w:rFonts w:ascii="Book Antiqua" w:hAnsi="Book Antiqua"/>
          <w:sz w:val="28"/>
          <w:szCs w:val="32"/>
        </w:rPr>
        <w:t>.</w:t>
      </w:r>
    </w:p>
    <w:p w:rsidR="00593D31" w:rsidRPr="00667D5D" w:rsidRDefault="00593D31" w:rsidP="00C51532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t>Section 84 – Intimation of appointment of receiver or manager</w:t>
      </w:r>
    </w:p>
    <w:p w:rsidR="00593D31" w:rsidRPr="00667D5D" w:rsidRDefault="000B708D" w:rsidP="00C51532">
      <w:pPr>
        <w:rPr>
          <w:rFonts w:ascii="Book Antiqua" w:hAnsi="Book Antiqua"/>
          <w:sz w:val="28"/>
          <w:szCs w:val="32"/>
        </w:rPr>
      </w:pPr>
      <w:proofErr w:type="gramStart"/>
      <w:r w:rsidRPr="00667D5D">
        <w:rPr>
          <w:rFonts w:ascii="Book Antiqua" w:hAnsi="Book Antiqua"/>
          <w:sz w:val="28"/>
          <w:szCs w:val="32"/>
        </w:rPr>
        <w:t>If any person obtains an order for the appointment of a receiver of, or of a person to manage</w:t>
      </w:r>
      <w:r w:rsidR="006E4B27" w:rsidRPr="00667D5D">
        <w:rPr>
          <w:rFonts w:ascii="Book Antiqua" w:hAnsi="Book Antiqua"/>
          <w:sz w:val="28"/>
          <w:szCs w:val="32"/>
        </w:rPr>
        <w:t>, the property, subject to charge, intimation for such appointment shall be given within 30</w:t>
      </w:r>
      <w:r w:rsidR="00DB725D" w:rsidRPr="00667D5D">
        <w:rPr>
          <w:rFonts w:ascii="Book Antiqua" w:hAnsi="Book Antiqua"/>
          <w:sz w:val="28"/>
          <w:szCs w:val="32"/>
        </w:rPr>
        <w:t xml:space="preserve"> days of such appointment.</w:t>
      </w:r>
      <w:proofErr w:type="gramEnd"/>
      <w:r w:rsidR="00DB725D" w:rsidRPr="00667D5D">
        <w:rPr>
          <w:rFonts w:ascii="Book Antiqua" w:hAnsi="Book Antiqua"/>
          <w:sz w:val="28"/>
          <w:szCs w:val="32"/>
        </w:rPr>
        <w:t xml:space="preserve">  Notice </w:t>
      </w:r>
      <w:proofErr w:type="spellStart"/>
      <w:r w:rsidR="00DB725D" w:rsidRPr="00667D5D">
        <w:rPr>
          <w:rFonts w:ascii="Book Antiqua" w:hAnsi="Book Antiqua"/>
          <w:sz w:val="28"/>
          <w:szCs w:val="32"/>
        </w:rPr>
        <w:t>forCessation</w:t>
      </w:r>
      <w:proofErr w:type="spellEnd"/>
      <w:r w:rsidR="00DB725D" w:rsidRPr="00667D5D">
        <w:rPr>
          <w:rFonts w:ascii="Book Antiqua" w:hAnsi="Book Antiqua"/>
          <w:sz w:val="28"/>
          <w:szCs w:val="32"/>
        </w:rPr>
        <w:t xml:space="preserve"> to hold appointment shall also to the registrar.</w:t>
      </w:r>
    </w:p>
    <w:p w:rsidR="00DB725D" w:rsidRPr="00667D5D" w:rsidRDefault="00343B73" w:rsidP="00C51532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t>Section 85 – Company’s register of charges</w:t>
      </w:r>
    </w:p>
    <w:p w:rsidR="00343B73" w:rsidRPr="00667D5D" w:rsidRDefault="00343B73" w:rsidP="00C51532">
      <w:p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 xml:space="preserve">Every company </w:t>
      </w:r>
      <w:r w:rsidR="00F44D42" w:rsidRPr="00667D5D">
        <w:rPr>
          <w:rFonts w:ascii="Book Antiqua" w:hAnsi="Book Antiqua"/>
          <w:sz w:val="28"/>
          <w:szCs w:val="32"/>
        </w:rPr>
        <w:t xml:space="preserve">shall keep at its registered </w:t>
      </w:r>
      <w:proofErr w:type="gramStart"/>
      <w:r w:rsidR="00F44D42" w:rsidRPr="00667D5D">
        <w:rPr>
          <w:rFonts w:ascii="Book Antiqua" w:hAnsi="Book Antiqua"/>
          <w:sz w:val="28"/>
          <w:szCs w:val="32"/>
        </w:rPr>
        <w:t>office,</w:t>
      </w:r>
      <w:proofErr w:type="gramEnd"/>
      <w:r w:rsidR="00F44D42" w:rsidRPr="00667D5D">
        <w:rPr>
          <w:rFonts w:ascii="Book Antiqua" w:hAnsi="Book Antiqua"/>
          <w:sz w:val="28"/>
          <w:szCs w:val="32"/>
        </w:rPr>
        <w:t xml:space="preserve"> a register of charges contains all the particulars of charge as may be prescribed. </w:t>
      </w:r>
      <w:r w:rsidR="00850E18" w:rsidRPr="00667D5D">
        <w:rPr>
          <w:rFonts w:ascii="Book Antiqua" w:hAnsi="Book Antiqua"/>
          <w:sz w:val="28"/>
          <w:szCs w:val="32"/>
        </w:rPr>
        <w:t>That</w:t>
      </w:r>
      <w:r w:rsidR="002D2297" w:rsidRPr="00667D5D">
        <w:rPr>
          <w:rFonts w:ascii="Book Antiqua" w:hAnsi="Book Antiqua"/>
          <w:sz w:val="28"/>
          <w:szCs w:val="32"/>
        </w:rPr>
        <w:t xml:space="preserve"> register is open for inspection</w:t>
      </w:r>
      <w:r w:rsidR="008268C0" w:rsidRPr="00667D5D">
        <w:rPr>
          <w:rFonts w:ascii="Book Antiqua" w:hAnsi="Book Antiqua"/>
          <w:sz w:val="28"/>
          <w:szCs w:val="32"/>
        </w:rPr>
        <w:t xml:space="preserve"> for any member or creditor without any payment of fees, or for any other person on payment of fees as may be prescribed.</w:t>
      </w:r>
    </w:p>
    <w:p w:rsidR="008268C0" w:rsidRPr="00667D5D" w:rsidRDefault="00034C1F" w:rsidP="00C51532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t>Section 86 – Punishment for contravention.</w:t>
      </w:r>
    </w:p>
    <w:p w:rsidR="00034C1F" w:rsidRPr="00667D5D" w:rsidRDefault="00034C1F" w:rsidP="00C51532">
      <w:p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 xml:space="preserve">For </w:t>
      </w:r>
      <w:proofErr w:type="gramStart"/>
      <w:r w:rsidRPr="00667D5D">
        <w:rPr>
          <w:rFonts w:ascii="Book Antiqua" w:hAnsi="Book Antiqua"/>
          <w:sz w:val="28"/>
          <w:szCs w:val="32"/>
        </w:rPr>
        <w:t xml:space="preserve">Company </w:t>
      </w:r>
      <w:r w:rsidR="0096292D" w:rsidRPr="00667D5D">
        <w:rPr>
          <w:rFonts w:ascii="Book Antiqua" w:hAnsi="Book Antiqua"/>
          <w:sz w:val="28"/>
          <w:szCs w:val="32"/>
        </w:rPr>
        <w:t xml:space="preserve"> :</w:t>
      </w:r>
      <w:proofErr w:type="gramEnd"/>
      <w:r w:rsidR="0096292D" w:rsidRPr="00667D5D">
        <w:rPr>
          <w:rFonts w:ascii="Book Antiqua" w:hAnsi="Book Antiqua"/>
          <w:sz w:val="28"/>
          <w:szCs w:val="32"/>
        </w:rPr>
        <w:t xml:space="preserve"> One </w:t>
      </w:r>
      <w:proofErr w:type="spellStart"/>
      <w:r w:rsidR="0096292D" w:rsidRPr="00667D5D">
        <w:rPr>
          <w:rFonts w:ascii="Book Antiqua" w:hAnsi="Book Antiqua"/>
          <w:sz w:val="28"/>
          <w:szCs w:val="32"/>
        </w:rPr>
        <w:t>lakhs</w:t>
      </w:r>
      <w:proofErr w:type="spellEnd"/>
      <w:r w:rsidR="0096292D" w:rsidRPr="00667D5D">
        <w:rPr>
          <w:rFonts w:ascii="Book Antiqua" w:hAnsi="Book Antiqua"/>
          <w:sz w:val="28"/>
          <w:szCs w:val="32"/>
        </w:rPr>
        <w:t xml:space="preserve"> to Ten </w:t>
      </w:r>
      <w:proofErr w:type="spellStart"/>
      <w:r w:rsidR="0096292D" w:rsidRPr="00667D5D">
        <w:rPr>
          <w:rFonts w:ascii="Book Antiqua" w:hAnsi="Book Antiqua"/>
          <w:sz w:val="28"/>
          <w:szCs w:val="32"/>
        </w:rPr>
        <w:t>Lakhs</w:t>
      </w:r>
      <w:proofErr w:type="spellEnd"/>
    </w:p>
    <w:p w:rsidR="0096292D" w:rsidRPr="00667D5D" w:rsidRDefault="0096292D" w:rsidP="00C51532">
      <w:p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 xml:space="preserve">For Officer in </w:t>
      </w:r>
      <w:proofErr w:type="gramStart"/>
      <w:r w:rsidRPr="00667D5D">
        <w:rPr>
          <w:rFonts w:ascii="Book Antiqua" w:hAnsi="Book Antiqua"/>
          <w:sz w:val="28"/>
          <w:szCs w:val="32"/>
        </w:rPr>
        <w:t>Default :</w:t>
      </w:r>
      <w:proofErr w:type="gramEnd"/>
      <w:r w:rsidRPr="00667D5D">
        <w:rPr>
          <w:rFonts w:ascii="Book Antiqua" w:hAnsi="Book Antiqua"/>
          <w:sz w:val="28"/>
          <w:szCs w:val="32"/>
        </w:rPr>
        <w:t xml:space="preserve"> imprisonment up to</w:t>
      </w:r>
      <w:r w:rsidR="007810FB" w:rsidRPr="00667D5D">
        <w:rPr>
          <w:rFonts w:ascii="Book Antiqua" w:hAnsi="Book Antiqua"/>
          <w:sz w:val="28"/>
          <w:szCs w:val="32"/>
        </w:rPr>
        <w:t xml:space="preserve"> six months or fine from 25,000 to 1,00,000, or with both.</w:t>
      </w:r>
    </w:p>
    <w:p w:rsidR="007810FB" w:rsidRPr="00667D5D" w:rsidRDefault="007810FB" w:rsidP="00C51532">
      <w:pPr>
        <w:rPr>
          <w:rFonts w:ascii="Book Antiqua" w:hAnsi="Book Antiqua"/>
          <w:b/>
          <w:sz w:val="28"/>
          <w:szCs w:val="32"/>
          <w:u w:val="single"/>
        </w:rPr>
      </w:pPr>
      <w:r w:rsidRPr="00667D5D">
        <w:rPr>
          <w:rFonts w:ascii="Book Antiqua" w:hAnsi="Book Antiqua"/>
          <w:b/>
          <w:sz w:val="28"/>
          <w:szCs w:val="32"/>
          <w:u w:val="single"/>
        </w:rPr>
        <w:lastRenderedPageBreak/>
        <w:t>Section 87 – Rectification by Central Government in register of charges</w:t>
      </w:r>
    </w:p>
    <w:p w:rsidR="007810FB" w:rsidRPr="00667D5D" w:rsidRDefault="00BA49DA" w:rsidP="00C51532">
      <w:pPr>
        <w:rPr>
          <w:rFonts w:ascii="Book Antiqua" w:hAnsi="Book Antiqua"/>
          <w:sz w:val="28"/>
          <w:szCs w:val="32"/>
        </w:rPr>
      </w:pPr>
      <w:r w:rsidRPr="00667D5D">
        <w:rPr>
          <w:rFonts w:ascii="Book Antiqua" w:hAnsi="Book Antiqua"/>
          <w:sz w:val="28"/>
          <w:szCs w:val="32"/>
        </w:rPr>
        <w:t>On omission to register</w:t>
      </w:r>
      <w:r w:rsidR="00FF71A2" w:rsidRPr="00667D5D">
        <w:rPr>
          <w:rFonts w:ascii="Book Antiqua" w:hAnsi="Book Antiqua"/>
          <w:sz w:val="28"/>
          <w:szCs w:val="32"/>
        </w:rPr>
        <w:t xml:space="preserve"> or </w:t>
      </w:r>
      <w:proofErr w:type="spellStart"/>
      <w:r w:rsidR="00FF71A2" w:rsidRPr="00667D5D">
        <w:rPr>
          <w:rFonts w:ascii="Book Antiqua" w:hAnsi="Book Antiqua"/>
          <w:sz w:val="28"/>
          <w:szCs w:val="32"/>
        </w:rPr>
        <w:t>mis</w:t>
      </w:r>
      <w:proofErr w:type="spellEnd"/>
      <w:r w:rsidR="00FF71A2" w:rsidRPr="00667D5D">
        <w:rPr>
          <w:rFonts w:ascii="Book Antiqua" w:hAnsi="Book Antiqua"/>
          <w:sz w:val="28"/>
          <w:szCs w:val="32"/>
        </w:rPr>
        <w:t>-statement of any particular is supported with sufficient cause or it is not of a nature to prejudice the position of creditors or shareholders of the company</w:t>
      </w:r>
      <w:r w:rsidR="00FD779B" w:rsidRPr="00667D5D">
        <w:rPr>
          <w:rFonts w:ascii="Book Antiqua" w:hAnsi="Book Antiqua"/>
          <w:sz w:val="28"/>
          <w:szCs w:val="32"/>
        </w:rPr>
        <w:t xml:space="preserve">, Central govt. on the application of company or person interested, may extend </w:t>
      </w:r>
      <w:r w:rsidR="007A2E87" w:rsidRPr="00667D5D">
        <w:rPr>
          <w:rFonts w:ascii="Book Antiqua" w:hAnsi="Book Antiqua"/>
          <w:sz w:val="28"/>
          <w:szCs w:val="32"/>
        </w:rPr>
        <w:t xml:space="preserve">the time for registration or satisfaction </w:t>
      </w:r>
      <w:r w:rsidR="00B60E2B" w:rsidRPr="00667D5D">
        <w:rPr>
          <w:rFonts w:ascii="Book Antiqua" w:hAnsi="Book Antiqua"/>
          <w:sz w:val="28"/>
          <w:szCs w:val="32"/>
        </w:rPr>
        <w:t>of charge.</w:t>
      </w:r>
    </w:p>
    <w:p w:rsidR="00F44D42" w:rsidRPr="00DC01D2" w:rsidRDefault="00DC01D2" w:rsidP="00C51532">
      <w:pPr>
        <w:rPr>
          <w:rFonts w:ascii="Book Antiqua" w:hAnsi="Book Antiqua"/>
          <w:b/>
          <w:sz w:val="28"/>
          <w:szCs w:val="32"/>
          <w:u w:val="single"/>
        </w:rPr>
      </w:pPr>
      <w:r>
        <w:rPr>
          <w:rFonts w:ascii="Book Antiqua" w:hAnsi="Book Antiqua"/>
          <w:b/>
          <w:sz w:val="28"/>
          <w:szCs w:val="32"/>
          <w:u w:val="single"/>
        </w:rPr>
        <w:t xml:space="preserve">Summary of Forms </w:t>
      </w:r>
      <w:proofErr w:type="gramStart"/>
      <w:r>
        <w:rPr>
          <w:rFonts w:ascii="Book Antiqua" w:hAnsi="Book Antiqua"/>
          <w:b/>
          <w:sz w:val="28"/>
          <w:szCs w:val="32"/>
          <w:u w:val="single"/>
        </w:rPr>
        <w:t>required :</w:t>
      </w:r>
      <w:proofErr w:type="gramEnd"/>
    </w:p>
    <w:tbl>
      <w:tblPr>
        <w:tblW w:w="9560" w:type="dxa"/>
        <w:tblInd w:w="89" w:type="dxa"/>
        <w:tblLook w:val="04A0"/>
      </w:tblPr>
      <w:tblGrid>
        <w:gridCol w:w="800"/>
        <w:gridCol w:w="870"/>
        <w:gridCol w:w="870"/>
        <w:gridCol w:w="870"/>
        <w:gridCol w:w="870"/>
        <w:gridCol w:w="870"/>
        <w:gridCol w:w="870"/>
        <w:gridCol w:w="3540"/>
      </w:tblGrid>
      <w:tr w:rsidR="00DC01D2" w:rsidRPr="00DC01D2" w:rsidTr="00DC01D2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0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0"/>
              </w:rPr>
              <w:t>Sec. No.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0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0"/>
              </w:rPr>
              <w:t>Particulars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0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0"/>
              </w:rPr>
              <w:t>Form No.</w:t>
            </w:r>
          </w:p>
        </w:tc>
      </w:tr>
      <w:tr w:rsidR="00DC01D2" w:rsidRPr="00DC01D2" w:rsidTr="00DC01D2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77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 xml:space="preserve">Duty to register </w:t>
            </w:r>
            <w:proofErr w:type="spellStart"/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Charges,etc</w:t>
            </w:r>
            <w:proofErr w:type="spellEnd"/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 </w:t>
            </w:r>
          </w:p>
        </w:tc>
      </w:tr>
      <w:tr w:rsidR="00DC01D2" w:rsidRPr="00DC01D2" w:rsidTr="00DC01D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78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Application for registration of charge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CHG-1 (Application for Reg. of Charges)</w:t>
            </w:r>
          </w:p>
        </w:tc>
      </w:tr>
      <w:tr w:rsidR="00DC01D2" w:rsidRPr="00DC01D2" w:rsidTr="00DC01D2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79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Section 77 applies in certain matters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 xml:space="preserve">CHG-2 (Certificate of </w:t>
            </w:r>
            <w:proofErr w:type="spellStart"/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registraton</w:t>
            </w:r>
            <w:proofErr w:type="spellEnd"/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), CHG-3 (Certificate of registration in case of modification)</w:t>
            </w:r>
          </w:p>
        </w:tc>
      </w:tr>
      <w:tr w:rsidR="00DC01D2" w:rsidRPr="00DC01D2" w:rsidTr="00DC01D2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80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Date of notice of charge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 </w:t>
            </w:r>
          </w:p>
        </w:tc>
      </w:tr>
      <w:tr w:rsidR="00DC01D2" w:rsidRPr="00DC01D2" w:rsidTr="00DC01D2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81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Register of Charges to be kept by Registrar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 </w:t>
            </w:r>
          </w:p>
        </w:tc>
      </w:tr>
      <w:tr w:rsidR="00DC01D2" w:rsidRPr="00DC01D2" w:rsidTr="00DC01D2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82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Company to report satisfaction of charge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CHG-4 (Application for Satisfaction of Charge)</w:t>
            </w:r>
          </w:p>
        </w:tc>
      </w:tr>
      <w:tr w:rsidR="00DC01D2" w:rsidRPr="00DC01D2" w:rsidTr="00DC01D2">
        <w:trPr>
          <w:trHeight w:val="3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83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Power of Registrar to make entries of Satisfaction and release in absence of intimation from company.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CHG-5 (Memorandum of Satisfaction)</w:t>
            </w:r>
          </w:p>
        </w:tc>
      </w:tr>
      <w:tr w:rsidR="00DC01D2" w:rsidRPr="00DC01D2" w:rsidTr="00DC01D2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</w:p>
        </w:tc>
        <w:tc>
          <w:tcPr>
            <w:tcW w:w="5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</w:p>
        </w:tc>
      </w:tr>
      <w:tr w:rsidR="00DC01D2" w:rsidRPr="00DC01D2" w:rsidTr="00DC01D2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84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Intimation of appointment of receiver or manager.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CHG-6 (Notice for appointment or cessation of receiver or manager)</w:t>
            </w:r>
          </w:p>
        </w:tc>
      </w:tr>
      <w:tr w:rsidR="00DC01D2" w:rsidRPr="00DC01D2" w:rsidTr="00DC01D2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85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Company's register of Charges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CHG-7 (Register of Charges)</w:t>
            </w:r>
          </w:p>
        </w:tc>
      </w:tr>
      <w:tr w:rsidR="00DC01D2" w:rsidRPr="00DC01D2" w:rsidTr="00DC01D2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86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Punishment for contravention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 </w:t>
            </w:r>
          </w:p>
        </w:tc>
      </w:tr>
      <w:tr w:rsidR="00DC01D2" w:rsidRPr="00DC01D2" w:rsidTr="00DC01D2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</w:rPr>
              <w:t>87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Rectification by Central Govt. in register of charges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CHG-8 (Application to Govt. for extension of time to register)</w:t>
            </w:r>
          </w:p>
        </w:tc>
      </w:tr>
      <w:tr w:rsidR="00DC01D2" w:rsidRPr="00DC01D2" w:rsidTr="00DC01D2">
        <w:trPr>
          <w:trHeight w:val="9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</w:rPr>
            </w:pPr>
            <w:r w:rsidRPr="00DC01D2">
              <w:rPr>
                <w:rFonts w:ascii="Book Antiqua" w:eastAsia="Times New Roman" w:hAnsi="Book Antiqua" w:cs="Calibri"/>
                <w:color w:val="000000"/>
                <w:sz w:val="24"/>
              </w:rPr>
              <w:t>CHG-9 (Application for registration or modification of charge for debentures &amp; rectification of the same)</w:t>
            </w:r>
          </w:p>
        </w:tc>
      </w:tr>
      <w:tr w:rsidR="00DC01D2" w:rsidRPr="00DC01D2" w:rsidTr="00DC01D2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D2" w:rsidRPr="00DC01D2" w:rsidRDefault="00DC01D2" w:rsidP="00DC01D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</w:tbl>
    <w:p w:rsidR="00EC3B05" w:rsidRPr="003738B8" w:rsidRDefault="00EC3B05" w:rsidP="00DC01D2">
      <w:pPr>
        <w:rPr>
          <w:rFonts w:ascii="Book Antiqua" w:hAnsi="Book Antiqua"/>
          <w:sz w:val="32"/>
          <w:szCs w:val="32"/>
        </w:rPr>
      </w:pPr>
    </w:p>
    <w:sectPr w:rsidR="00EC3B05" w:rsidRPr="003738B8" w:rsidSect="0074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6634"/>
    <w:multiLevelType w:val="hybridMultilevel"/>
    <w:tmpl w:val="42CE4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50678"/>
    <w:rsid w:val="000023C8"/>
    <w:rsid w:val="00034C1F"/>
    <w:rsid w:val="00037BB2"/>
    <w:rsid w:val="0004185D"/>
    <w:rsid w:val="000B708D"/>
    <w:rsid w:val="00297EF0"/>
    <w:rsid w:val="002B6A5C"/>
    <w:rsid w:val="002D2297"/>
    <w:rsid w:val="00343B73"/>
    <w:rsid w:val="003738B8"/>
    <w:rsid w:val="00553B1B"/>
    <w:rsid w:val="00561E0B"/>
    <w:rsid w:val="00580251"/>
    <w:rsid w:val="00593D31"/>
    <w:rsid w:val="00667D5D"/>
    <w:rsid w:val="006E4B27"/>
    <w:rsid w:val="00743ED3"/>
    <w:rsid w:val="007810FB"/>
    <w:rsid w:val="007A2E87"/>
    <w:rsid w:val="007B15CA"/>
    <w:rsid w:val="007E50AA"/>
    <w:rsid w:val="00804B30"/>
    <w:rsid w:val="008268C0"/>
    <w:rsid w:val="00850E18"/>
    <w:rsid w:val="008F737C"/>
    <w:rsid w:val="0096292D"/>
    <w:rsid w:val="009B6FE0"/>
    <w:rsid w:val="009C0396"/>
    <w:rsid w:val="009D3608"/>
    <w:rsid w:val="009F0FAD"/>
    <w:rsid w:val="00B60E2B"/>
    <w:rsid w:val="00BA119C"/>
    <w:rsid w:val="00BA49DA"/>
    <w:rsid w:val="00C51532"/>
    <w:rsid w:val="00CC1C9B"/>
    <w:rsid w:val="00CD2C8E"/>
    <w:rsid w:val="00D33C47"/>
    <w:rsid w:val="00D50678"/>
    <w:rsid w:val="00DB725D"/>
    <w:rsid w:val="00DC01D2"/>
    <w:rsid w:val="00DC7EAF"/>
    <w:rsid w:val="00DF6EC2"/>
    <w:rsid w:val="00E2387B"/>
    <w:rsid w:val="00EC3B05"/>
    <w:rsid w:val="00F42C12"/>
    <w:rsid w:val="00F44D42"/>
    <w:rsid w:val="00F95DBD"/>
    <w:rsid w:val="00FD779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Narula-2</dc:creator>
  <cp:lastModifiedBy>Narula-2</cp:lastModifiedBy>
  <cp:revision>3</cp:revision>
  <dcterms:created xsi:type="dcterms:W3CDTF">2014-05-14T07:53:00Z</dcterms:created>
  <dcterms:modified xsi:type="dcterms:W3CDTF">2014-05-14T09:47:00Z</dcterms:modified>
</cp:coreProperties>
</file>